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Design from Semantics: Direct Logic Synthesis under Care-Domain Compatibility</w:t>
      </w:r>
    </w:p>
    <w:p>
      <w:pPr>
        <w:spacing w:after="100" w:line="252" w:lineRule="auto"/>
        <w:jc w:val="center"/>
      </w:pPr>
      <w:r>
        <w:rPr>
          <w:rFonts w:ascii="Times New Roman" w:hAnsi="Times New Roman"/>
          <w:b w:val="0"/>
          <w:i/>
          <w:sz w:val="21"/>
        </w:rPr>
        <w:t>Paper IV — Full Draft for Final Review</w:t>
      </w:r>
    </w:p>
    <w:p>
      <w:pPr>
        <w:pStyle w:val="Heading1"/>
        <w:spacing w:before="160" w:after="80"/>
      </w:pPr>
      <w:r>
        <w:t>Abstract</w:t>
      </w:r>
    </w:p>
    <w:p>
      <w:pPr>
        <w:spacing w:after="100" w:line="252" w:lineRule="auto"/>
      </w:pPr>
      <w:r>
        <w:rPr>
          <w:rFonts w:ascii="Times New Roman" w:hAnsi="Times New Roman"/>
          <w:b w:val="0"/>
          <w:i w:val="0"/>
          <w:sz w:val="21"/>
        </w:rPr>
        <w:t>Many digital control functions are naturally specified only over a subset of their Boolean input space. Processor decoders operate on meaningful instruction encodings, protocol controllers respond to legal transactions, register interfaces distinguish implemented from reserved addresses, and communication devices process only semantically valid combinations of command, state, and data fields. Outside these domains, circuit behavior may be irrelevant to the intended functionality.</w:t>
      </w:r>
    </w:p>
    <w:p>
      <w:pPr>
        <w:spacing w:after="100" w:line="252" w:lineRule="auto"/>
      </w:pPr>
      <w:r>
        <w:rPr>
          <w:rFonts w:ascii="Times New Roman" w:hAnsi="Times New Roman"/>
          <w:b w:val="0"/>
          <w:i w:val="0"/>
          <w:sz w:val="21"/>
        </w:rPr>
        <w:t>Conventional logic synthesis, however, is commonly applied to a Boolean network representing a particular realization of the specification. This paper investigates an alternative formulation, termed Design from Semantics (DfS), in which synthesis operates directly under the compatibility constraints of a partially defined Boolean function (PDBF). Given a care domain D and required behavior F:D→{0,1}^m, a candidate circuit C is considered correct when</w:t>
      </w:r>
    </w:p>
    <w:p>
      <w:pPr>
        <w:spacing w:after="120"/>
        <w:jc w:val="center"/>
      </w:pPr>
      <w:r>
        <w:rPr>
          <w:rFonts w:ascii="Cambria Math" w:hAnsi="Cambria Math"/>
          <w:sz w:val="22"/>
        </w:rPr>
        <w:t>C(x) = F(x),   ∀ x ∈ D,</w:t>
      </w:r>
    </w:p>
    <w:p>
      <w:pPr>
        <w:spacing w:after="100" w:line="252" w:lineRule="auto"/>
      </w:pPr>
      <w:r>
        <w:rPr>
          <w:rFonts w:ascii="Times New Roman" w:hAnsi="Times New Roman"/>
          <w:b w:val="0"/>
          <w:i w:val="0"/>
          <w:sz w:val="21"/>
        </w:rPr>
        <w:t>while its behavior outside D remains unconstrained.</w:t>
      </w:r>
    </w:p>
    <w:p>
      <w:pPr>
        <w:spacing w:after="100" w:line="252" w:lineRule="auto"/>
      </w:pPr>
      <w:r>
        <w:rPr>
          <w:rFonts w:ascii="Times New Roman" w:hAnsi="Times New Roman"/>
          <w:b w:val="0"/>
          <w:i w:val="0"/>
          <w:sz w:val="21"/>
        </w:rPr>
        <w:t>This formulation permits synthesis to exploit semantic incompleteness directly during implementation search rather than requiring preservation of a particular behavior over the entire Boolean input space.</w:t>
      </w:r>
    </w:p>
    <w:p>
      <w:pPr>
        <w:spacing w:after="100" w:line="252" w:lineRule="auto"/>
      </w:pPr>
      <w:r>
        <w:rPr>
          <w:rFonts w:ascii="Times New Roman" w:hAnsi="Times New Roman"/>
          <w:b w:val="0"/>
          <w:i w:val="0"/>
          <w:sz w:val="21"/>
        </w:rPr>
        <w:t>The approach is evaluated on processor-control projections and protocol-oriented semantic controllers, including RISC-V decode/control functions, CAN, Ethernet, DALI, DMX512, FlexRay, LIN, Modbus, PCIe/AXI-Lite, USB CDC, SPI, I²C, MDIO, and USB HID examples. Implementations obtained by direct semantic synthesis are compared with those produced by an evaluated conventional ABC synthesis flow using gate count, maximum logic depth, wire count, maximum gate fan-out, and maximum primary-input fan-out.</w:t>
      </w:r>
    </w:p>
    <w:p>
      <w:pPr>
        <w:spacing w:after="100" w:line="252" w:lineRule="auto"/>
      </w:pPr>
      <w:r>
        <w:rPr>
          <w:rFonts w:ascii="Times New Roman" w:hAnsi="Times New Roman"/>
          <w:b w:val="0"/>
          <w:i w:val="0"/>
          <w:sz w:val="21"/>
        </w:rPr>
        <w:t>Substantial structural differences are observed across the benchmark set. For example, an SPI semantic controller is reduced from 47 gates and 8 levels to 22 gates and 3 levels, while a USB HID semantic controller is reduced from 242 gates and 20 levels to 36 gates and 6 levels. Alternative semantic implementations expose additional area-depth trade-offs.</w:t>
      </w:r>
    </w:p>
    <w:p>
      <w:pPr>
        <w:spacing w:after="100" w:line="252" w:lineRule="auto"/>
      </w:pPr>
      <w:r>
        <w:rPr>
          <w:rFonts w:ascii="Times New Roman" w:hAnsi="Times New Roman"/>
          <w:b/>
          <w:i w:val="0"/>
          <w:sz w:val="21"/>
        </w:rPr>
        <w:t>The results show that direct synthesis under care-domain compatibility can discover implementations substantially different from—and, in these experiments, often smaller and shallower than—those obtained by the evaluated conventional synthesis flow.</w:t>
      </w:r>
    </w:p>
    <w:p>
      <w:pPr>
        <w:spacing w:after="100" w:line="252" w:lineRule="auto"/>
      </w:pPr>
      <w:r>
        <w:rPr>
          <w:rFonts w:ascii="Times New Roman" w:hAnsi="Times New Roman"/>
          <w:b w:val="0"/>
          <w:i w:val="0"/>
          <w:sz w:val="21"/>
        </w:rPr>
        <w:t>These observations suggest that semantic incompleteness can be treated as an optimization resource rather than merely as a property of the specification.</w:t>
      </w:r>
    </w:p>
    <w:p>
      <w:pPr>
        <w:pStyle w:val="Heading1"/>
        <w:spacing w:before="160" w:after="80"/>
      </w:pPr>
      <w:r>
        <w:t>1. Introduction</w:t>
      </w:r>
    </w:p>
    <w:p>
      <w:pPr>
        <w:spacing w:after="100" w:line="252" w:lineRule="auto"/>
      </w:pPr>
      <w:r>
        <w:rPr>
          <w:rFonts w:ascii="Times New Roman" w:hAnsi="Times New Roman"/>
          <w:b w:val="0"/>
          <w:i w:val="0"/>
          <w:sz w:val="21"/>
        </w:rPr>
        <w:t>Logic synthesis is traditionally concerned with transforming a Boolean representation into a structurally improved implementation while preserving its required functionality. Typical objectives include reductions in circuit area, logic depth, interconnection complexity, power, or combinations of these quantities.</w:t>
      </w:r>
    </w:p>
    <w:p>
      <w:pPr>
        <w:spacing w:after="100" w:line="252" w:lineRule="auto"/>
      </w:pPr>
      <w:r>
        <w:rPr>
          <w:rFonts w:ascii="Times New Roman" w:hAnsi="Times New Roman"/>
          <w:b w:val="0"/>
          <w:i w:val="0"/>
          <w:sz w:val="21"/>
        </w:rPr>
        <w:t>For a completely defined Boolean function</w:t>
      </w:r>
    </w:p>
    <w:p>
      <w:pPr>
        <w:spacing w:after="120"/>
        <w:jc w:val="center"/>
      </w:pPr>
      <w:r>
        <w:rPr>
          <w:rFonts w:ascii="Cambria Math" w:hAnsi="Cambria Math"/>
          <w:sz w:val="22"/>
        </w:rPr>
        <w:t>F : {0,1}ⁿ → {0,1}ᵐ,</w:t>
      </w:r>
    </w:p>
    <w:p>
      <w:pPr>
        <w:spacing w:after="100" w:line="252" w:lineRule="auto"/>
      </w:pPr>
      <w:r>
        <w:rPr>
          <w:rFonts w:ascii="Times New Roman" w:hAnsi="Times New Roman"/>
          <w:b w:val="0"/>
          <w:i w:val="0"/>
          <w:sz w:val="21"/>
        </w:rPr>
        <w:t>correctness requires a synthesized circuit C to satisfy</w:t>
      </w:r>
    </w:p>
    <w:p>
      <w:pPr>
        <w:spacing w:after="120"/>
        <w:jc w:val="center"/>
      </w:pPr>
      <w:r>
        <w:rPr>
          <w:rFonts w:ascii="Cambria Math" w:hAnsi="Cambria Math"/>
          <w:sz w:val="22"/>
        </w:rPr>
        <w:t>C(x) = F(x)</w:t>
      </w:r>
    </w:p>
    <w:p>
      <w:pPr>
        <w:spacing w:after="100" w:line="252" w:lineRule="auto"/>
      </w:pPr>
      <w:r>
        <w:rPr>
          <w:rFonts w:ascii="Times New Roman" w:hAnsi="Times New Roman"/>
          <w:b w:val="0"/>
          <w:i w:val="0"/>
          <w:sz w:val="21"/>
        </w:rPr>
        <w:t>for every x ∈ {0,1}ⁿ. This formulation is natural when every possible input combination has a required interpretation.</w:t>
      </w:r>
    </w:p>
    <w:p>
      <w:pPr>
        <w:spacing w:after="100" w:line="252" w:lineRule="auto"/>
      </w:pPr>
      <w:r>
        <w:rPr>
          <w:rFonts w:ascii="Times New Roman" w:hAnsi="Times New Roman"/>
          <w:b w:val="0"/>
          <w:i w:val="0"/>
          <w:sz w:val="21"/>
        </w:rPr>
        <w:t>Many control-oriented digital systems, however, do not naturally possess such a complete specification. A processor decoder is required to respond correctly to meaningful instruction encodings. A communication controller processes commands that are legal under the protocol. A register interface recognizes implemented addresses and supported operations. A USB request controller responds to supported combinations of request type, request code, value, index, and length. Large portions of the mathematical Boolean input space may therefore have no required system-level meaning.</w:t>
      </w:r>
    </w:p>
    <w:p>
      <w:pPr>
        <w:spacing w:after="100" w:line="252" w:lineRule="auto"/>
      </w:pPr>
      <w:r>
        <w:rPr>
          <w:rFonts w:ascii="Times New Roman" w:hAnsi="Times New Roman"/>
          <w:b w:val="0"/>
          <w:i w:val="0"/>
          <w:sz w:val="21"/>
        </w:rPr>
        <w:t>Such functions are naturally modeled as partially defined Boolean functions. Let</w:t>
      </w:r>
    </w:p>
    <w:p>
      <w:pPr>
        <w:spacing w:after="120"/>
        <w:jc w:val="center"/>
      </w:pPr>
      <w:r>
        <w:rPr>
          <w:rFonts w:ascii="Cambria Math" w:hAnsi="Cambria Math"/>
          <w:sz w:val="22"/>
        </w:rPr>
        <w:t>D ⊆ {0,1}ⁿ</w:t>
      </w:r>
    </w:p>
    <w:p>
      <w:pPr>
        <w:spacing w:after="100" w:line="252" w:lineRule="auto"/>
      </w:pPr>
      <w:r>
        <w:rPr>
          <w:rFonts w:ascii="Times New Roman" w:hAnsi="Times New Roman"/>
          <w:b w:val="0"/>
          <w:i w:val="0"/>
          <w:sz w:val="21"/>
        </w:rPr>
        <w:t>be the semantic care domain, and let</w:t>
      </w:r>
    </w:p>
    <w:p>
      <w:pPr>
        <w:spacing w:after="120"/>
        <w:jc w:val="center"/>
      </w:pPr>
      <w:r>
        <w:rPr>
          <w:rFonts w:ascii="Cambria Math" w:hAnsi="Cambria Math"/>
          <w:sz w:val="22"/>
        </w:rPr>
        <w:t>F : D → {0,1}ᵐ</w:t>
      </w:r>
    </w:p>
    <w:p>
      <w:pPr>
        <w:spacing w:after="100" w:line="252" w:lineRule="auto"/>
      </w:pPr>
      <w:r>
        <w:rPr>
          <w:rFonts w:ascii="Times New Roman" w:hAnsi="Times New Roman"/>
          <w:b w:val="0"/>
          <w:i w:val="0"/>
          <w:sz w:val="21"/>
        </w:rPr>
        <w:t>describe the required behavior. An implementation is correct if</w:t>
      </w:r>
    </w:p>
    <w:p>
      <w:pPr>
        <w:spacing w:after="120"/>
        <w:jc w:val="center"/>
      </w:pPr>
      <w:r>
        <w:rPr>
          <w:rFonts w:ascii="Cambria Math" w:hAnsi="Cambria Math"/>
          <w:sz w:val="22"/>
        </w:rPr>
        <w:t>∀ x ∈ D,   C(x) = F(x)</w:t>
      </w:r>
    </w:p>
    <w:p>
      <w:pPr>
        <w:spacing w:after="100" w:line="252" w:lineRule="auto"/>
      </w:pPr>
      <w:r>
        <w:rPr>
          <w:rFonts w:ascii="Times New Roman" w:hAnsi="Times New Roman"/>
          <w:b w:val="0"/>
          <w:i w:val="0"/>
          <w:sz w:val="21"/>
        </w:rPr>
        <w:t>without requiring any particular behavior for x ∉ D.</w:t>
      </w:r>
    </w:p>
    <w:p>
      <w:pPr>
        <w:spacing w:after="100" w:line="252" w:lineRule="auto"/>
      </w:pPr>
      <w:r>
        <w:rPr>
          <w:rFonts w:ascii="Times New Roman" w:hAnsi="Times New Roman"/>
          <w:b w:val="0"/>
          <w:i w:val="0"/>
          <w:sz w:val="21"/>
        </w:rPr>
        <w:t>The distinction is fundamental. It changes the synthesis objective from preserving one completely defined Boolean function to searching the set of all circuits compatible with a semantic relation.</w:t>
      </w:r>
    </w:p>
    <w:p>
      <w:pPr>
        <w:spacing w:after="100" w:line="252" w:lineRule="auto"/>
      </w:pPr>
      <w:r>
        <w:rPr>
          <w:rFonts w:ascii="Times New Roman" w:hAnsi="Times New Roman"/>
          <w:b w:val="0"/>
          <w:i w:val="0"/>
          <w:sz w:val="21"/>
        </w:rPr>
        <w:t>This paper investigates this alternative synthesis viewpoint, which we call Design from Semantics (DfS). Rather than asking how an existing Boolean network can be transformed into a cheaper equivalent network, DfS asks what circuit structure satisfies the required semantic observations at minimum or otherwise favorable implementation cost. The difference allows unspecified behavior to participate directly in implementation search.</w:t>
      </w:r>
    </w:p>
    <w:p>
      <w:pPr>
        <w:spacing w:after="100" w:line="252" w:lineRule="auto"/>
      </w:pPr>
      <w:r>
        <w:rPr>
          <w:rFonts w:ascii="Times New Roman" w:hAnsi="Times New Roman"/>
          <w:b w:val="0"/>
          <w:i w:val="0"/>
          <w:sz w:val="21"/>
        </w:rPr>
        <w:t>The objective of this work is not to argue that conventional synthesis systems are incorrect when processing incompletely specified functions. Instead, we investigate whether searching directly under care-domain compatibility can expose implementations that differ structurally from those obtained by the evaluated conventional synthesis flow.</w:t>
      </w:r>
    </w:p>
    <w:p>
      <w:pPr>
        <w:spacing w:after="100" w:line="252" w:lineRule="auto"/>
      </w:pPr>
      <w:r>
        <w:rPr>
          <w:rFonts w:ascii="Times New Roman" w:hAnsi="Times New Roman"/>
          <w:b w:val="0"/>
          <w:i w:val="0"/>
          <w:sz w:val="21"/>
        </w:rPr>
        <w:t>Three research questions guide the study:</w:t>
      </w:r>
    </w:p>
    <w:p>
      <w:pPr>
        <w:pStyle w:val="ListBullet"/>
        <w:spacing w:after="40"/>
      </w:pPr>
      <w:r>
        <w:rPr>
          <w:rFonts w:ascii="Times New Roman" w:hAnsi="Times New Roman"/>
          <w:sz w:val="21"/>
        </w:rPr>
        <w:t>RQ1. Can direct synthesis under care-domain compatibility reduce implementation complexity relative to the evaluated conventional synthesis flow?</w:t>
      </w:r>
    </w:p>
    <w:p>
      <w:pPr>
        <w:pStyle w:val="ListBullet"/>
        <w:spacing w:after="40"/>
      </w:pPr>
      <w:r>
        <w:rPr>
          <w:rFonts w:ascii="Times New Roman" w:hAnsi="Times New Roman"/>
          <w:sz w:val="21"/>
        </w:rPr>
        <w:t>RQ2. Does this behavior occur across different classes of control-oriented specifications rather than only a particular benchmark family?</w:t>
      </w:r>
    </w:p>
    <w:p>
      <w:pPr>
        <w:pStyle w:val="ListBullet"/>
        <w:spacing w:after="40"/>
      </w:pPr>
      <w:r>
        <w:rPr>
          <w:rFonts w:ascii="Times New Roman" w:hAnsi="Times New Roman"/>
          <w:sz w:val="21"/>
        </w:rPr>
        <w:t>RQ3. Can semantic synthesis expose useful Pareto alternatives between circuit area, depth, wiring, and fan-out?</w:t>
      </w:r>
    </w:p>
    <w:p>
      <w:pPr>
        <w:spacing w:after="100" w:line="252" w:lineRule="auto"/>
      </w:pPr>
      <w:r>
        <w:rPr>
          <w:rFonts w:ascii="Times New Roman" w:hAnsi="Times New Roman"/>
          <w:b w:val="0"/>
          <w:i w:val="0"/>
          <w:sz w:val="21"/>
        </w:rPr>
        <w:t>Our experiments provide affirmative evidence for all three questions.</w:t>
      </w:r>
    </w:p>
    <w:p>
      <w:pPr>
        <w:spacing w:after="100" w:line="252" w:lineRule="auto"/>
      </w:pPr>
      <w:r>
        <w:rPr>
          <w:rFonts w:ascii="Times New Roman" w:hAnsi="Times New Roman"/>
          <w:b/>
          <w:i w:val="0"/>
          <w:sz w:val="21"/>
        </w:rPr>
        <w:t>The principal result of the study is that direct synthesis under care-domain compatibility can discover implementations substantially different from—and, in the evaluated benchmarks, often smaller and shallower than—those obtained by the evaluated conventional synthesis flow.</w:t>
      </w:r>
    </w:p>
    <w:p>
      <w:pPr>
        <w:pStyle w:val="Heading1"/>
        <w:spacing w:before="160" w:after="80"/>
      </w:pPr>
      <w:r>
        <w:t>2. Semantic Care Domains</w:t>
      </w:r>
    </w:p>
    <w:p>
      <w:pPr>
        <w:pStyle w:val="Heading2"/>
        <w:spacing w:before="160" w:after="80"/>
      </w:pPr>
      <w:r>
        <w:t>2.1 Completely Defined Boolean Functions</w:t>
      </w:r>
    </w:p>
    <w:p>
      <w:pPr>
        <w:spacing w:after="100" w:line="252" w:lineRule="auto"/>
      </w:pPr>
      <w:r>
        <w:rPr>
          <w:rFonts w:ascii="Times New Roman" w:hAnsi="Times New Roman"/>
          <w:b w:val="0"/>
          <w:i w:val="0"/>
          <w:sz w:val="21"/>
        </w:rPr>
        <w:t>For a completely defined function F:Bⁿ→Bᵐ, with B={0,1}, the implementation requirement is global:</w:t>
      </w:r>
    </w:p>
    <w:p>
      <w:pPr>
        <w:spacing w:after="120"/>
        <w:jc w:val="center"/>
      </w:pPr>
      <w:r>
        <w:rPr>
          <w:rFonts w:ascii="Cambria Math" w:hAnsi="Cambria Math"/>
          <w:sz w:val="22"/>
        </w:rPr>
        <w:t>∀ x ∈ Bⁿ,   C(x) = F(x).</w:t>
      </w:r>
    </w:p>
    <w:p>
      <w:pPr>
        <w:spacing w:after="100" w:line="252" w:lineRule="auto"/>
      </w:pPr>
      <w:r>
        <w:rPr>
          <w:rFonts w:ascii="Times New Roman" w:hAnsi="Times New Roman"/>
          <w:b w:val="0"/>
          <w:i w:val="0"/>
          <w:sz w:val="21"/>
        </w:rPr>
        <w:t>Two implementations are therefore equivalent only when their outputs agree for every possible input assignment.</w:t>
      </w:r>
    </w:p>
    <w:p>
      <w:pPr>
        <w:pStyle w:val="Heading2"/>
        <w:spacing w:before="160" w:after="80"/>
      </w:pPr>
      <w:r>
        <w:t>2.2 Partially Defined Boolean Functions</w:t>
      </w:r>
    </w:p>
    <w:p>
      <w:pPr>
        <w:spacing w:after="100" w:line="252" w:lineRule="auto"/>
      </w:pPr>
      <w:r>
        <w:rPr>
          <w:rFonts w:ascii="Times New Roman" w:hAnsi="Times New Roman"/>
          <w:b w:val="0"/>
          <w:i w:val="0"/>
          <w:sz w:val="21"/>
        </w:rPr>
        <w:t>A PDBF instead specifies F:D→Bᵐ, where D⊆Bⁿ. Only assignments belonging to D constrain implementation behavior.</w:t>
      </w:r>
    </w:p>
    <w:p>
      <w:pPr>
        <w:spacing w:after="120"/>
        <w:jc w:val="center"/>
      </w:pPr>
      <w:r>
        <w:rPr>
          <w:rFonts w:ascii="Cambria Math" w:hAnsi="Cambria Math"/>
          <w:sz w:val="22"/>
        </w:rPr>
        <w:t>D̄ = Bⁿ \ D</w:t>
      </w:r>
    </w:p>
    <w:p>
      <w:pPr>
        <w:spacing w:after="100" w:line="252" w:lineRule="auto"/>
      </w:pPr>
      <w:r>
        <w:rPr>
          <w:rFonts w:ascii="Times New Roman" w:hAnsi="Times New Roman"/>
          <w:b w:val="0"/>
          <w:i w:val="0"/>
          <w:sz w:val="21"/>
        </w:rPr>
        <w:t>contains assignments whose outputs are semantically unspecified. Consequently, two circuits C₁ and C₂ may differ for some x∈D̄ and nevertheless both be correct implementations if</w:t>
      </w:r>
    </w:p>
    <w:p>
      <w:pPr>
        <w:spacing w:after="120"/>
        <w:jc w:val="center"/>
      </w:pPr>
      <w:r>
        <w:rPr>
          <w:rFonts w:ascii="Cambria Math" w:hAnsi="Cambria Math"/>
          <w:sz w:val="22"/>
        </w:rPr>
        <w:t>C₁(x) = C₂(x) = F(x),   ∀ x ∈ D.</w:t>
      </w:r>
    </w:p>
    <w:p>
      <w:pPr>
        <w:spacing w:after="100" w:line="252" w:lineRule="auto"/>
      </w:pPr>
      <w:r>
        <w:rPr>
          <w:rFonts w:ascii="Times New Roman" w:hAnsi="Times New Roman"/>
          <w:b w:val="0"/>
          <w:i w:val="0"/>
          <w:sz w:val="21"/>
        </w:rPr>
        <w:t>We call this relation care-domain compatibility.</w:t>
      </w:r>
    </w:p>
    <w:p>
      <w:pPr>
        <w:pStyle w:val="Heading1"/>
        <w:spacing w:before="160" w:after="80"/>
      </w:pPr>
      <w:r>
        <w:t>3. Semantic Incompleteness as an Optimization Resource</w:t>
      </w:r>
    </w:p>
    <w:p>
      <w:pPr>
        <w:spacing w:after="100" w:line="252" w:lineRule="auto"/>
      </w:pPr>
      <w:r>
        <w:rPr>
          <w:rFonts w:ascii="Times New Roman" w:hAnsi="Times New Roman"/>
          <w:b w:val="0"/>
          <w:i w:val="0"/>
          <w:sz w:val="21"/>
        </w:rPr>
        <w:t>A partially defined specification implicitly represents a family of possible complete Boolean functions. Let</w:t>
      </w:r>
    </w:p>
    <w:p>
      <w:pPr>
        <w:spacing w:after="120"/>
        <w:jc w:val="center"/>
      </w:pPr>
      <w:r>
        <w:rPr>
          <w:rFonts w:ascii="Cambria Math" w:hAnsi="Cambria Math"/>
          <w:sz w:val="22"/>
        </w:rPr>
        <w:t>𝓕(F,D) = { F′ : F′(x) = F(x), ∀ x ∈ D }.</w:t>
      </w:r>
    </w:p>
    <w:p>
      <w:pPr>
        <w:spacing w:after="100" w:line="252" w:lineRule="auto"/>
      </w:pPr>
      <w:r>
        <w:rPr>
          <w:rFonts w:ascii="Times New Roman" w:hAnsi="Times New Roman"/>
          <w:b w:val="0"/>
          <w:i w:val="0"/>
          <w:sz w:val="21"/>
        </w:rPr>
        <w:t>Every member of this family agrees with the required semantics but may assign different values outside the care domain. These completions need not have equal implementation complexity.</w:t>
      </w:r>
    </w:p>
    <w:p>
      <w:pPr>
        <w:spacing w:after="120"/>
        <w:jc w:val="center"/>
      </w:pPr>
      <w:r>
        <w:rPr>
          <w:rFonts w:ascii="Cambria Math" w:hAnsi="Cambria Math"/>
          <w:sz w:val="22"/>
        </w:rPr>
        <w:t>F₁|D = F₂|D = F,    while potentially    cost(F₁) ≫ cost(F₂).</w:t>
      </w:r>
    </w:p>
    <w:p>
      <w:pPr>
        <w:spacing w:after="100" w:line="252" w:lineRule="auto"/>
      </w:pPr>
      <w:r>
        <w:rPr>
          <w:rFonts w:ascii="Times New Roman" w:hAnsi="Times New Roman"/>
          <w:b w:val="0"/>
          <w:i w:val="0"/>
          <w:sz w:val="21"/>
        </w:rPr>
        <w:t>The synthesis problem can therefore be formulated as</w:t>
      </w:r>
    </w:p>
    <w:p>
      <w:pPr>
        <w:spacing w:after="120"/>
        <w:jc w:val="center"/>
      </w:pPr>
      <w:r>
        <w:rPr>
          <w:rFonts w:ascii="Cambria Math" w:hAnsi="Cambria Math"/>
          <w:sz w:val="22"/>
        </w:rPr>
        <w:t>C* = arg min_C Cost(C)</w:t>
      </w:r>
    </w:p>
    <w:p>
      <w:pPr>
        <w:spacing w:after="100" w:line="252" w:lineRule="auto"/>
      </w:pPr>
      <w:r>
        <w:rPr>
          <w:rFonts w:ascii="Times New Roman" w:hAnsi="Times New Roman"/>
          <w:b w:val="0"/>
          <w:i w:val="0"/>
          <w:sz w:val="21"/>
        </w:rPr>
        <w:t>subject to</w:t>
      </w:r>
    </w:p>
    <w:p>
      <w:pPr>
        <w:spacing w:after="120"/>
        <w:jc w:val="center"/>
      </w:pPr>
      <w:r>
        <w:rPr>
          <w:rFonts w:ascii="Cambria Math" w:hAnsi="Cambria Math"/>
          <w:sz w:val="22"/>
        </w:rPr>
        <w:t>C(x) = F(x),   ∀ x ∈ D.</w:t>
      </w:r>
    </w:p>
    <w:p>
      <w:pPr>
        <w:spacing w:after="100" w:line="252" w:lineRule="auto"/>
      </w:pPr>
      <w:r>
        <w:rPr>
          <w:rFonts w:ascii="Times New Roman" w:hAnsi="Times New Roman"/>
          <w:b w:val="0"/>
          <w:i w:val="0"/>
          <w:sz w:val="21"/>
        </w:rPr>
        <w:t>Crucially, no constraint is imposed for x∉D.</w:t>
      </w:r>
    </w:p>
    <w:p>
      <w:pPr>
        <w:spacing w:after="100" w:line="252" w:lineRule="auto"/>
      </w:pPr>
      <w:r>
        <w:rPr>
          <w:rFonts w:ascii="Times New Roman" w:hAnsi="Times New Roman"/>
          <w:b w:val="0"/>
          <w:i w:val="0"/>
          <w:sz w:val="21"/>
        </w:rPr>
        <w:t>This freedom is not artificial in many applications. It arises from system semantics: reserved instruction encodings, unsupported protocol commands, unimplemented registers, unmatched device addresses, unreachable states, illegal transactions, reserved request types, and combinations of fields that cannot arise during valid system operation. DfS treats this semantic incompleteness as part of the optimization space.</w:t>
      </w:r>
    </w:p>
    <w:p>
      <w:pPr>
        <w:pStyle w:val="Heading1"/>
        <w:spacing w:before="160" w:after="80"/>
      </w:pPr>
      <w:r>
        <w:t>4. Design from Semantics</w:t>
      </w:r>
    </w:p>
    <w:p>
      <w:pPr>
        <w:spacing w:after="100" w:line="252" w:lineRule="auto"/>
      </w:pPr>
      <w:r>
        <w:rPr>
          <w:rFonts w:ascii="Times New Roman" w:hAnsi="Times New Roman"/>
          <w:b w:val="0"/>
          <w:i w:val="0"/>
          <w:sz w:val="21"/>
        </w:rPr>
        <w:t>A conventional synthesis process can be represented conceptually as</w:t>
      </w:r>
    </w:p>
    <w:p>
      <w:pPr>
        <w:spacing w:after="120"/>
        <w:jc w:val="center"/>
      </w:pPr>
      <w:r>
        <w:rPr>
          <w:rFonts w:ascii="Cambria Math" w:hAnsi="Cambria Math"/>
          <w:sz w:val="22"/>
        </w:rPr>
        <w:t>Specification → Boolean representation → structural optimization.</w:t>
      </w:r>
    </w:p>
    <w:p>
      <w:pPr>
        <w:spacing w:after="100" w:line="252" w:lineRule="auto"/>
      </w:pPr>
      <w:r>
        <w:rPr>
          <w:rFonts w:ascii="Times New Roman" w:hAnsi="Times New Roman"/>
          <w:b w:val="0"/>
          <w:i w:val="0"/>
          <w:sz w:val="21"/>
        </w:rPr>
        <w:t>DfS emphasizes a different route:</w:t>
      </w:r>
    </w:p>
    <w:p>
      <w:pPr>
        <w:spacing w:after="120"/>
        <w:jc w:val="center"/>
      </w:pPr>
      <w:r>
        <w:rPr>
          <w:rFonts w:ascii="Cambria Math" w:hAnsi="Cambria Math"/>
          <w:sz w:val="22"/>
        </w:rPr>
        <w:t>Semantic constraints → implementation search.</w:t>
      </w:r>
    </w:p>
    <w:p>
      <w:pPr>
        <w:spacing w:after="100" w:line="252" w:lineRule="auto"/>
      </w:pPr>
      <w:r>
        <w:rPr>
          <w:rFonts w:ascii="Times New Roman" w:hAnsi="Times New Roman"/>
          <w:b w:val="0"/>
          <w:i w:val="0"/>
          <w:sz w:val="21"/>
        </w:rPr>
        <w:t>Correctness is evaluated directly against the care domain. The distinction does not imply that conventional optimization cannot exploit don't-care information. Rather, it concerns where the synthesis search is formulated and which equivalence relation constrains candidate implementations.</w:t>
      </w:r>
    </w:p>
    <w:p>
      <w:pPr>
        <w:spacing w:after="100" w:line="252" w:lineRule="auto"/>
      </w:pPr>
      <w:r>
        <w:rPr>
          <w:rFonts w:ascii="Times New Roman" w:hAnsi="Times New Roman"/>
          <w:b w:val="0"/>
          <w:i w:val="0"/>
          <w:sz w:val="21"/>
        </w:rPr>
        <w:t>In DfS, candidate circuits need not be globally equivalent to one predetermined complete Boolean function. They need only belong to the compatibility class defined by D.</w:t>
      </w:r>
    </w:p>
    <w:p>
      <w:pPr>
        <w:pStyle w:val="Heading2"/>
        <w:spacing w:before="160" w:after="80"/>
      </w:pPr>
      <w:r>
        <w:t>4.1 Multi-Objective Implementation Cost</w:t>
      </w:r>
    </w:p>
    <w:p>
      <w:pPr>
        <w:spacing w:after="100" w:line="252" w:lineRule="auto"/>
      </w:pPr>
      <w:r>
        <w:rPr>
          <w:rFonts w:ascii="Times New Roman" w:hAnsi="Times New Roman"/>
          <w:b w:val="0"/>
          <w:i w:val="0"/>
          <w:sz w:val="21"/>
        </w:rPr>
        <w:t>Circuit quality is not determined solely by gate count. In this study, an implementation is characterized by</w:t>
      </w:r>
    </w:p>
    <w:p>
      <w:pPr>
        <w:spacing w:after="120"/>
        <w:jc w:val="center"/>
      </w:pPr>
      <w:r>
        <w:rPr>
          <w:rFonts w:ascii="Cambria Math" w:hAnsi="Cambria Math"/>
          <w:sz w:val="22"/>
        </w:rPr>
        <w:t>Q(C) = (G, L, W, F_G, F_I),</w:t>
      </w:r>
    </w:p>
    <w:p>
      <w:pPr>
        <w:spacing w:after="100" w:line="252" w:lineRule="auto"/>
      </w:pPr>
      <w:r>
        <w:rPr>
          <w:rFonts w:ascii="Times New Roman" w:hAnsi="Times New Roman"/>
          <w:b w:val="0"/>
          <w:i w:val="0"/>
          <w:sz w:val="21"/>
        </w:rPr>
        <w:t>where G is gate count, L is maximum logic depth, W is wire count, F_G is maximum gate fan-out, and F_I is maximum primary-input fan-out.</w:t>
      </w:r>
    </w:p>
    <w:p>
      <w:pPr>
        <w:spacing w:after="100" w:line="252" w:lineRule="auto"/>
      </w:pPr>
      <w:r>
        <w:rPr>
          <w:rFonts w:ascii="Times New Roman" w:hAnsi="Times New Roman"/>
          <w:b w:val="0"/>
          <w:i w:val="0"/>
          <w:sz w:val="21"/>
        </w:rPr>
        <w:t>Semantic synthesis may therefore generate multiple useful solutions rather than one uniquely optimal network. One implementation may minimize gates while another uses slightly more gates to achieve lower depth. Such solutions form a Pareto set.</w:t>
      </w:r>
    </w:p>
    <w:p>
      <w:pPr>
        <w:pStyle w:val="Heading1"/>
        <w:spacing w:before="160" w:after="80"/>
      </w:pPr>
      <w:r>
        <w:t>5. Experimental Methodology</w:t>
      </w:r>
    </w:p>
    <w:p>
      <w:pPr>
        <w:pStyle w:val="Heading2"/>
        <w:spacing w:before="160" w:after="80"/>
      </w:pPr>
      <w:r>
        <w:t>5.1 Benchmark Classes</w:t>
      </w:r>
    </w:p>
    <w:p>
      <w:pPr>
        <w:spacing w:after="100" w:line="252" w:lineRule="auto"/>
      </w:pPr>
      <w:r>
        <w:rPr>
          <w:rFonts w:ascii="Times New Roman" w:hAnsi="Times New Roman"/>
          <w:b w:val="0"/>
          <w:i w:val="0"/>
          <w:sz w:val="21"/>
        </w:rPr>
        <w:t>The experimental set contains several families of control-oriented Boolean functions.</w:t>
      </w:r>
    </w:p>
    <w:p>
      <w:pPr>
        <w:spacing w:after="100" w:line="252" w:lineRule="auto"/>
      </w:pPr>
      <w:r>
        <w:rPr>
          <w:rFonts w:ascii="Times New Roman" w:hAnsi="Times New Roman"/>
          <w:b w:val="0"/>
          <w:i w:val="0"/>
          <w:sz w:val="21"/>
        </w:rPr>
        <w:t>Processor-control functions include projections derived from CV32E40P, Ibex RV32IM, PicoRV32, and VexRiscv. These represent decode/control behavior rather than arithmetic datapaths.</w:t>
      </w:r>
    </w:p>
    <w:p>
      <w:pPr>
        <w:spacing w:after="100" w:line="252" w:lineRule="auto"/>
      </w:pPr>
      <w:r>
        <w:rPr>
          <w:rFonts w:ascii="Times New Roman" w:hAnsi="Times New Roman"/>
          <w:b w:val="0"/>
          <w:i w:val="0"/>
          <w:sz w:val="21"/>
        </w:rPr>
        <w:t>Communication and control functions include CAN identifier decoding, CAN/CAN-FD frame control, Ethernet MAC address filtering, DALI command decoding, DMX512 start-code decoding, FlexRay header semantics, LIN protected-identifier decoding, Modbus public-function decoding, PCIe/AXI-Lite control, and USB CDC request control.</w:t>
      </w:r>
    </w:p>
    <w:p>
      <w:pPr>
        <w:spacing w:after="100" w:line="252" w:lineRule="auto"/>
      </w:pPr>
      <w:r>
        <w:rPr>
          <w:rFonts w:ascii="Times New Roman" w:hAnsi="Times New Roman"/>
          <w:b w:val="0"/>
          <w:i w:val="0"/>
          <w:sz w:val="21"/>
        </w:rPr>
        <w:t>Additional PDBF semantic-controller benchmarks were constructed for SPI command/register control, I²C target/register control, MDIO Clause-22 management, and USB HID SETUP-request control. These examples explicitly retain combinations that are semantically unspecified.</w:t>
      </w:r>
    </w:p>
    <w:p>
      <w:pPr>
        <w:pStyle w:val="Heading1"/>
        <w:spacing w:before="160" w:after="80"/>
      </w:pPr>
      <w:r>
        <w:t>6. Reference Synthesis and Comparison</w:t>
      </w:r>
    </w:p>
    <w:p>
      <w:pPr>
        <w:spacing w:after="100" w:line="252" w:lineRule="auto"/>
      </w:pPr>
      <w:r>
        <w:rPr>
          <w:rFonts w:ascii="Times New Roman" w:hAnsi="Times New Roman"/>
          <w:b w:val="0"/>
          <w:i w:val="0"/>
          <w:sz w:val="21"/>
        </w:rPr>
        <w:t>ABC is used as the conventional synthesis reference. The purpose of this comparison is not to characterize ABC as incorrect. Instead, ABC provides a mature conventional synthesis flow against which the structural consequences of direct semantic synthesis can be examined.</w:t>
      </w:r>
    </w:p>
    <w:p>
      <w:pPr>
        <w:spacing w:after="100" w:line="252" w:lineRule="auto"/>
      </w:pPr>
      <w:r>
        <w:rPr>
          <w:rFonts w:ascii="Times New Roman" w:hAnsi="Times New Roman"/>
          <w:b w:val="0"/>
          <w:i w:val="0"/>
          <w:sz w:val="21"/>
        </w:rPr>
        <w:t>When different ABC optimization sequences produce different non-dominated area/depth results, multiple solutions are retained. The same principle is applied to GT results.</w:t>
      </w:r>
    </w:p>
    <w:p>
      <w:pPr>
        <w:spacing w:after="100" w:line="252" w:lineRule="auto"/>
      </w:pPr>
      <w:r>
        <w:rPr>
          <w:rFonts w:ascii="Times New Roman" w:hAnsi="Times New Roman"/>
          <w:b w:val="0"/>
          <w:i w:val="0"/>
          <w:sz w:val="21"/>
        </w:rPr>
        <w:t>For example, the MDIO benchmark produces the verified GT alternatives (17 gates, 4 levels, 47 wires) and (19 gates, 3 levels, 51 wires). The first favors gate count, while the second favors depth.</w:t>
      </w:r>
    </w:p>
    <w:p>
      <w:pPr>
        <w:pStyle w:val="Heading1"/>
        <w:spacing w:before="160" w:after="80"/>
      </w:pPr>
      <w:r>
        <w:t>7. Independent Correctness Verification</w:t>
      </w:r>
    </w:p>
    <w:p>
      <w:pPr>
        <w:spacing w:after="100" w:line="252" w:lineRule="auto"/>
      </w:pPr>
      <w:r>
        <w:rPr>
          <w:rFonts w:ascii="Times New Roman" w:hAnsi="Times New Roman"/>
          <w:b w:val="0"/>
          <w:i w:val="0"/>
          <w:sz w:val="21"/>
        </w:rPr>
        <w:t>Structural optimization is meaningful only after semantic correctness has been established. For every candidate network considered for inclusion in the experimental results, we independently evaluate C(x) for all enumerated care assignments x∈D and compare the result against the PDBF specification.</w:t>
      </w:r>
    </w:p>
    <w:p>
      <w:pPr>
        <w:spacing w:after="100" w:line="252" w:lineRule="auto"/>
      </w:pPr>
      <w:r>
        <w:rPr>
          <w:rFonts w:ascii="Times New Roman" w:hAnsi="Times New Roman"/>
          <w:b w:val="0"/>
          <w:i w:val="0"/>
          <w:sz w:val="21"/>
        </w:rPr>
        <w:t>The acceptance criterion is</w:t>
      </w:r>
    </w:p>
    <w:p>
      <w:pPr>
        <w:spacing w:after="120"/>
        <w:jc w:val="center"/>
      </w:pPr>
      <w:r>
        <w:rPr>
          <w:rFonts w:ascii="Cambria Math" w:hAnsi="Cambria Math"/>
          <w:sz w:val="22"/>
        </w:rPr>
        <w:t>N_mismatch = 0.</w:t>
      </w:r>
    </w:p>
    <w:p>
      <w:pPr>
        <w:spacing w:after="100" w:line="252" w:lineRule="auto"/>
      </w:pPr>
      <w:r>
        <w:rPr>
          <w:rFonts w:ascii="Times New Roman" w:hAnsi="Times New Roman"/>
          <w:b w:val="0"/>
          <w:i w:val="0"/>
          <w:sz w:val="21"/>
        </w:rPr>
        <w:t>A candidate that has lower gate count or depth but violates even one required care condition is rejected. This independent verification proved particularly important during development because structurally attractive candidate circuits can result from an invalid generalization of a semantic condition.</w:t>
      </w:r>
    </w:p>
    <w:p>
      <w:pPr>
        <w:spacing w:after="120"/>
        <w:jc w:val="center"/>
      </w:pPr>
      <w:r>
        <w:rPr>
          <w:rFonts w:ascii="Cambria Math" w:hAnsi="Cambria Math"/>
          <w:sz w:val="22"/>
        </w:rPr>
        <w:t>PDBF → synthesis → candidate network → independent care-domain verification → structural measurement.</w:t>
      </w:r>
    </w:p>
    <w:p>
      <w:pPr>
        <w:spacing w:after="100" w:line="252" w:lineRule="auto"/>
      </w:pPr>
      <w:r>
        <w:rPr>
          <w:rFonts w:ascii="Times New Roman" w:hAnsi="Times New Roman"/>
          <w:b/>
          <w:i w:val="0"/>
          <w:sz w:val="21"/>
        </w:rPr>
        <w:t>Only verified networks enter the final comparison. Semantic validity precedes structural quality.</w:t>
      </w:r>
    </w:p>
    <w:p>
      <w:pPr>
        <w:pStyle w:val="Heading1"/>
        <w:spacing w:before="160" w:after="80"/>
      </w:pPr>
      <w:r>
        <w:t>8. Experimental Results</w:t>
      </w:r>
    </w:p>
    <w:p>
      <w:pPr>
        <w:pStyle w:val="Heading2"/>
        <w:spacing w:before="160" w:after="80"/>
      </w:pPr>
      <w:r>
        <w:t>8.1 Processor-Control Examples</w:t>
      </w:r>
    </w:p>
    <w:p>
      <w:pPr>
        <w:spacing w:after="100" w:line="252" w:lineRule="auto"/>
      </w:pPr>
      <w:r>
        <w:rPr>
          <w:rFonts w:ascii="Times New Roman" w:hAnsi="Times New Roman"/>
          <w:b w:val="0"/>
          <w:i w:val="0"/>
          <w:sz w:val="21"/>
        </w:rPr>
        <w:t>The processor benchmarks demonstrate substantial structural differences. For CV32E40P, ABC produces 127 gates, 19 levels, and 272 wires. GT produces alternatives including 35/7/93 and 37/5/97. For Ibex RV32IM, the ABC result is 116/12/258, while GT obtains 41/5/104 and 48/4/118. For VexRiscv, ABC gives 89/10/190, while GT obtains 18/4/48 and 21/3/54. These results indicate that the observed behavior is not confined to protocol decoders.</w:t>
      </w:r>
    </w:p>
    <w:p>
      <w:pPr>
        <w:pStyle w:val="Heading1"/>
        <w:spacing w:before="160" w:after="80"/>
      </w:pPr>
      <w:r>
        <w:t>9. Semantic Protocol Controllers</w:t>
      </w:r>
    </w:p>
    <w:p>
      <w:pPr>
        <w:pStyle w:val="Heading2"/>
        <w:spacing w:before="160" w:after="80"/>
      </w:pPr>
      <w:r>
        <w:t>9.1 SPI Command/Register Controller</w:t>
      </w:r>
    </w:p>
    <w:p>
      <w:pPr>
        <w:spacing w:after="100" w:line="252" w:lineRule="auto"/>
      </w:pPr>
      <w:r>
        <w:rPr>
          <w:rFonts w:ascii="Times New Roman" w:hAnsi="Times New Roman"/>
          <w:b w:val="0"/>
          <w:i w:val="0"/>
          <w:sz w:val="21"/>
        </w:rPr>
        <w:t>The SPI benchmark contains 9 inputs and 15 outputs. Its semantic cubes expand to 114 concrete care assignments. Two ABC solutions were observed: 47/8/109 and 43/12/101. The verified GT implementation contains 22/3/59.</w:t>
      </w:r>
    </w:p>
    <w:p>
      <w:pPr>
        <w:spacing w:after="100" w:line="252" w:lineRule="auto"/>
      </w:pPr>
      <w:r>
        <w:rPr>
          <w:rFonts w:ascii="Times New Roman" w:hAnsi="Times New Roman"/>
          <w:b w:val="0"/>
          <w:i w:val="0"/>
          <w:sz w:val="21"/>
        </w:rPr>
        <w:t>Compared with the 47-gate ABC solution, gate count decreases by 53.2%, maximum depth decreases from 8 to 3 (62.5%), and wire count decreases from 109 to 59 (45.9%). The GT implementation therefore improves gate count, depth, and wiring simultaneously.</w:t>
      </w:r>
    </w:p>
    <w:p>
      <w:pPr>
        <w:pStyle w:val="Heading1"/>
        <w:spacing w:before="160" w:after="80"/>
      </w:pPr>
      <w:r>
        <w:t>10. I²C Target/Register Controller</w:t>
      </w:r>
    </w:p>
    <w:p>
      <w:pPr>
        <w:spacing w:after="100" w:line="252" w:lineRule="auto"/>
      </w:pPr>
      <w:r>
        <w:rPr>
          <w:rFonts w:ascii="Times New Roman" w:hAnsi="Times New Roman"/>
          <w:b w:val="0"/>
          <w:i w:val="0"/>
          <w:sz w:val="21"/>
        </w:rPr>
        <w:t>The I²C benchmark contains 10 inputs and 14 outputs. Its semantic specification expands to 98 care assignments out of 2¹⁰=1024 possible Boolean input combinations, giving a care density of approximately 9.57%.</w:t>
      </w:r>
    </w:p>
    <w:p>
      <w:pPr>
        <w:spacing w:after="100" w:line="252" w:lineRule="auto"/>
      </w:pPr>
      <w:r>
        <w:rPr>
          <w:rFonts w:ascii="Times New Roman" w:hAnsi="Times New Roman"/>
          <w:b w:val="0"/>
          <w:i w:val="0"/>
          <w:sz w:val="21"/>
        </w:rPr>
        <w:t>ABC produces two useful alternatives, 41/8/96 and 38/10/90. GT produces 24/5/62 and 25/4/64. Neither GT solution dominates the other. The first favors area and wiring, while the second trades one additional gate and two wires for a reduction from five to four logic levels. This benchmark illustrates how direct semantic synthesis can expose a useful Pareto frontier rather than only a single implementation.</w:t>
      </w:r>
    </w:p>
    <w:p>
      <w:pPr>
        <w:pStyle w:val="Heading1"/>
        <w:spacing w:before="160" w:after="80"/>
      </w:pPr>
      <w:r>
        <w:t>11. MDIO Clause-22 Semantic Controller</w:t>
      </w:r>
    </w:p>
    <w:p>
      <w:pPr>
        <w:spacing w:after="100" w:line="252" w:lineRule="auto"/>
      </w:pPr>
      <w:r>
        <w:rPr>
          <w:rFonts w:ascii="Times New Roman" w:hAnsi="Times New Roman"/>
          <w:b w:val="0"/>
          <w:i w:val="0"/>
          <w:sz w:val="21"/>
        </w:rPr>
        <w:t>The MDIO benchmark contains 12 inputs and 13 outputs and has 52 concrete care assignments. The ABC alternatives are 31/7/75 and 30/9/73. The verified GT solutions are 17/4/47 and 19/3/51.</w:t>
      </w:r>
    </w:p>
    <w:p>
      <w:pPr>
        <w:spacing w:after="100" w:line="252" w:lineRule="auto"/>
      </w:pPr>
      <w:r>
        <w:rPr>
          <w:rFonts w:ascii="Times New Roman" w:hAnsi="Times New Roman"/>
          <w:b w:val="0"/>
          <w:i w:val="0"/>
          <w:sz w:val="21"/>
        </w:rPr>
        <w:t>Using the first pair, 31→17 corresponds to a gate reduction of approximately 45.2%. Logic depth decreases from 7→4, and wire count from 75→47. The 19-gate implementation provides a different operating point at 19 gates, 3 levels, and 51 wires. Again, semantic synthesis exposes an area-depth trade-off.</w:t>
      </w:r>
    </w:p>
    <w:p>
      <w:pPr>
        <w:pStyle w:val="Heading1"/>
        <w:spacing w:before="160" w:after="80"/>
      </w:pPr>
      <w:r>
        <w:t>12. USB CDC Control</w:t>
      </w:r>
    </w:p>
    <w:p>
      <w:pPr>
        <w:spacing w:after="100" w:line="252" w:lineRule="auto"/>
      </w:pPr>
      <w:r>
        <w:rPr>
          <w:rFonts w:ascii="Times New Roman" w:hAnsi="Times New Roman"/>
          <w:b w:val="0"/>
          <w:i w:val="0"/>
          <w:sz w:val="21"/>
        </w:rPr>
        <w:t>USB CDC provides a substantially larger semantic-control example. The specification has 64 primary inputs and 36 outputs, with a bounded care domain containing 30,720 specified input combinations.</w:t>
      </w:r>
    </w:p>
    <w:p>
      <w:pPr>
        <w:spacing w:after="100" w:line="252" w:lineRule="auto"/>
      </w:pPr>
      <w:r>
        <w:rPr>
          <w:rFonts w:ascii="Times New Roman" w:hAnsi="Times New Roman"/>
          <w:b w:val="0"/>
          <w:i w:val="0"/>
          <w:sz w:val="21"/>
        </w:rPr>
        <w:t>The ABC reference implementation contains 201/13/428. GT provides several structural alternatives: 80/19/196, 82/17/200, 83/12/202, 84/11/204, and 112/10/260.</w:t>
      </w:r>
    </w:p>
    <w:p>
      <w:pPr>
        <w:spacing w:after="100" w:line="252" w:lineRule="auto"/>
      </w:pPr>
      <w:r>
        <w:rPr>
          <w:rFonts w:ascii="Times New Roman" w:hAnsi="Times New Roman"/>
          <w:b w:val="0"/>
          <w:i w:val="0"/>
          <w:sz w:val="21"/>
        </w:rPr>
        <w:t>This benchmark is particularly instructive because minimizing gate count alone does not minimize depth. The 80-gate implementation is substantially smaller than the ABC network but deeper (19&gt;13). Other GT solutions exchange additional gates for lower depth. In particular, 84/11/204 improves both gate count and depth relative to the ABC reference, while the 112-gate solution reaches 10 levels. This result reinforces the importance of considering a Pareto frontier rather than a single optimization objective.</w:t>
      </w:r>
    </w:p>
    <w:p>
      <w:pPr>
        <w:pStyle w:val="Heading1"/>
        <w:spacing w:before="160" w:after="80"/>
      </w:pPr>
      <w:r>
        <w:t>13. USB HID Semantic Controller</w:t>
      </w:r>
    </w:p>
    <w:p>
      <w:pPr>
        <w:spacing w:after="100" w:line="252" w:lineRule="auto"/>
      </w:pPr>
      <w:r>
        <w:rPr>
          <w:rFonts w:ascii="Times New Roman" w:hAnsi="Times New Roman"/>
          <w:b w:val="0"/>
          <w:i w:val="0"/>
          <w:sz w:val="21"/>
        </w:rPr>
        <w:t>The USB HID benchmark uses the natural 64-bit USB SETUP request representation and 25 semantic outputs. The specification includes supported USB enumeration and HID-class operations, including GET_REPORT, SET_REPORT, GET_IDLE, SET_IDLE, GET_PROTOCOL, and SET_PROTOCOL.</w:t>
      </w:r>
    </w:p>
    <w:p>
      <w:pPr>
        <w:spacing w:after="100" w:line="252" w:lineRule="auto"/>
      </w:pPr>
      <w:r>
        <w:rPr>
          <w:rFonts w:ascii="Times New Roman" w:hAnsi="Times New Roman"/>
          <w:b w:val="0"/>
          <w:i w:val="0"/>
          <w:sz w:val="21"/>
        </w:rPr>
        <w:t>The evaluated ABC implementation contains 242 gates, 20 levels, and 509 wires. GT discovers three useful implementations: 36/6/94, 37/5/99, and 42/4/109.</w:t>
      </w:r>
    </w:p>
    <w:p>
      <w:pPr>
        <w:spacing w:after="100" w:line="252" w:lineRule="auto"/>
      </w:pPr>
      <w:r>
        <w:rPr>
          <w:rFonts w:ascii="Times New Roman" w:hAnsi="Times New Roman"/>
          <w:b w:val="0"/>
          <w:i w:val="0"/>
          <w:sz w:val="21"/>
        </w:rPr>
        <w:t>The minimum-gate solution reduces gate count by approximately 85.1% and wire count by approximately 81.5%. The depth-oriented 42-gate solution reduces maximum logic depth from 20 to 4, corresponding to an 80% reduction. The sequence 36/6, 37/5, 42/4 provides a particularly clear example of a semantic area-depth Pareto frontier.</w:t>
      </w:r>
    </w:p>
    <w:p>
      <w:pPr>
        <w:pStyle w:val="Heading1"/>
        <w:spacing w:before="160" w:after="80"/>
      </w:pPr>
      <w:r>
        <w:t>14. Selected Comparative Results</w:t>
      </w:r>
    </w:p>
    <w:tbl>
      <w:tblPr>
        <w:tblStyle w:val="TableGrid"/>
        <w:tblW w:type="auto" w:w="0"/>
        <w:jc w:val="center"/>
        <w:tblLook w:firstColumn="1" w:firstRow="1" w:lastColumn="0" w:lastRow="0" w:noHBand="0" w:noVBand="1" w:val="04A0"/>
      </w:tblPr>
      <w:tblGrid>
        <w:gridCol w:w="1419"/>
        <w:gridCol w:w="1419"/>
        <w:gridCol w:w="1419"/>
        <w:gridCol w:w="1419"/>
        <w:gridCol w:w="1419"/>
        <w:gridCol w:w="1419"/>
        <w:gridCol w:w="1419"/>
      </w:tblGrid>
      <w:tr>
        <w:trPr>
          <w:tblHeader w:val="true"/>
        </w:trPr>
        <w:tc>
          <w:tcPr>
            <w:tcW w:type="dxa" w:w="1419"/>
            <w:vAlign w:val="center"/>
          </w:tcPr>
          <w:p>
            <w:r>
              <w:rPr>
                <w:b/>
                <w:sz w:val="16"/>
              </w:rPr>
              <w:t>Benchmark</w:t>
            </w:r>
          </w:p>
        </w:tc>
        <w:tc>
          <w:tcPr>
            <w:tcW w:type="dxa" w:w="1419"/>
            <w:vAlign w:val="center"/>
          </w:tcPr>
          <w:p>
            <w:r>
              <w:rPr>
                <w:b/>
                <w:sz w:val="16"/>
              </w:rPr>
              <w:t>Method</w:t>
            </w:r>
          </w:p>
        </w:tc>
        <w:tc>
          <w:tcPr>
            <w:tcW w:type="dxa" w:w="1419"/>
            <w:vAlign w:val="center"/>
          </w:tcPr>
          <w:p>
            <w:r>
              <w:rPr>
                <w:b/>
                <w:sz w:val="16"/>
              </w:rPr>
              <w:t>Gates</w:t>
            </w:r>
          </w:p>
        </w:tc>
        <w:tc>
          <w:tcPr>
            <w:tcW w:type="dxa" w:w="1419"/>
            <w:vAlign w:val="center"/>
          </w:tcPr>
          <w:p>
            <w:r>
              <w:rPr>
                <w:b/>
                <w:sz w:val="16"/>
              </w:rPr>
              <w:t>Levels</w:t>
            </w:r>
          </w:p>
        </w:tc>
        <w:tc>
          <w:tcPr>
            <w:tcW w:type="dxa" w:w="1419"/>
            <w:vAlign w:val="center"/>
          </w:tcPr>
          <w:p>
            <w:r>
              <w:rPr>
                <w:b/>
                <w:sz w:val="16"/>
              </w:rPr>
              <w:t>Wires</w:t>
            </w:r>
          </w:p>
        </w:tc>
        <w:tc>
          <w:tcPr>
            <w:tcW w:type="dxa" w:w="1419"/>
            <w:vAlign w:val="center"/>
          </w:tcPr>
          <w:p>
            <w:r>
              <w:rPr>
                <w:b/>
                <w:sz w:val="16"/>
              </w:rPr>
              <w:t>Max Gate F-O</w:t>
            </w:r>
          </w:p>
        </w:tc>
        <w:tc>
          <w:tcPr>
            <w:tcW w:type="dxa" w:w="1419"/>
            <w:vAlign w:val="center"/>
          </w:tcPr>
          <w:p>
            <w:r>
              <w:rPr>
                <w:b/>
                <w:sz w:val="16"/>
              </w:rPr>
              <w:t>Max Input F-O</w:t>
            </w:r>
          </w:p>
        </w:tc>
      </w:tr>
      <w:tr>
        <w:tc>
          <w:tcPr>
            <w:tcW w:type="dxa" w:w="1419"/>
            <w:vAlign w:val="center"/>
          </w:tcPr>
          <w:p>
            <w:pPr>
              <w:spacing w:after="0"/>
            </w:pPr>
            <w:r>
              <w:rPr>
                <w:rFonts w:ascii="Times New Roman" w:hAnsi="Times New Roman"/>
                <w:sz w:val="16"/>
              </w:rPr>
              <w:t>CV32E40P</w:t>
            </w:r>
          </w:p>
        </w:tc>
        <w:tc>
          <w:tcPr>
            <w:tcW w:type="dxa" w:w="1419"/>
            <w:vAlign w:val="center"/>
          </w:tcPr>
          <w:p>
            <w:pPr>
              <w:spacing w:after="0"/>
            </w:pPr>
            <w:r>
              <w:rPr>
                <w:rFonts w:ascii="Times New Roman" w:hAnsi="Times New Roman"/>
                <w:sz w:val="16"/>
              </w:rPr>
              <w:t>ABC</w:t>
            </w:r>
          </w:p>
        </w:tc>
        <w:tc>
          <w:tcPr>
            <w:tcW w:type="dxa" w:w="1419"/>
            <w:vAlign w:val="center"/>
          </w:tcPr>
          <w:p>
            <w:pPr>
              <w:spacing w:after="0"/>
            </w:pPr>
            <w:r>
              <w:rPr>
                <w:rFonts w:ascii="Times New Roman" w:hAnsi="Times New Roman"/>
                <w:sz w:val="16"/>
              </w:rPr>
              <w:t>127</w:t>
            </w:r>
          </w:p>
        </w:tc>
        <w:tc>
          <w:tcPr>
            <w:tcW w:type="dxa" w:w="1419"/>
            <w:vAlign w:val="center"/>
          </w:tcPr>
          <w:p>
            <w:pPr>
              <w:spacing w:after="0"/>
            </w:pPr>
            <w:r>
              <w:rPr>
                <w:rFonts w:ascii="Times New Roman" w:hAnsi="Times New Roman"/>
                <w:sz w:val="16"/>
              </w:rPr>
              <w:t>19</w:t>
            </w:r>
          </w:p>
        </w:tc>
        <w:tc>
          <w:tcPr>
            <w:tcW w:type="dxa" w:w="1419"/>
            <w:vAlign w:val="center"/>
          </w:tcPr>
          <w:p>
            <w:pPr>
              <w:spacing w:after="0"/>
            </w:pPr>
            <w:r>
              <w:rPr>
                <w:rFonts w:ascii="Times New Roman" w:hAnsi="Times New Roman"/>
                <w:sz w:val="16"/>
              </w:rPr>
              <w:t>272</w:t>
            </w:r>
          </w:p>
        </w:tc>
        <w:tc>
          <w:tcPr>
            <w:tcW w:type="dxa" w:w="1419"/>
            <w:vAlign w:val="center"/>
          </w:tcPr>
          <w:p>
            <w:pPr>
              <w:spacing w:after="0"/>
            </w:pPr>
            <w:r>
              <w:rPr>
                <w:rFonts w:ascii="Times New Roman" w:hAnsi="Times New Roman"/>
                <w:sz w:val="16"/>
              </w:rPr>
              <w:t>7</w:t>
            </w:r>
          </w:p>
        </w:tc>
        <w:tc>
          <w:tcPr>
            <w:tcW w:type="dxa" w:w="1419"/>
            <w:vAlign w:val="center"/>
          </w:tcPr>
          <w:p>
            <w:pPr>
              <w:spacing w:after="0"/>
            </w:pPr>
            <w:r>
              <w:rPr>
                <w:rFonts w:ascii="Times New Roman" w:hAnsi="Times New Roman"/>
                <w:sz w:val="16"/>
              </w:rPr>
              <w:t>7</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35</w:t>
            </w:r>
          </w:p>
        </w:tc>
        <w:tc>
          <w:tcPr>
            <w:tcW w:type="dxa" w:w="1419"/>
            <w:vAlign w:val="center"/>
          </w:tcPr>
          <w:p>
            <w:pPr>
              <w:spacing w:after="0"/>
            </w:pPr>
            <w:r>
              <w:rPr>
                <w:rFonts w:ascii="Times New Roman" w:hAnsi="Times New Roman"/>
                <w:sz w:val="16"/>
              </w:rPr>
              <w:t>7</w:t>
            </w:r>
          </w:p>
        </w:tc>
        <w:tc>
          <w:tcPr>
            <w:tcW w:type="dxa" w:w="1419"/>
            <w:vAlign w:val="center"/>
          </w:tcPr>
          <w:p>
            <w:pPr>
              <w:spacing w:after="0"/>
            </w:pPr>
            <w:r>
              <w:rPr>
                <w:rFonts w:ascii="Times New Roman" w:hAnsi="Times New Roman"/>
                <w:sz w:val="16"/>
              </w:rPr>
              <w:t>93</w:t>
            </w:r>
          </w:p>
        </w:tc>
        <w:tc>
          <w:tcPr>
            <w:tcW w:type="dxa" w:w="1419"/>
            <w:vAlign w:val="center"/>
          </w:tcPr>
          <w:p>
            <w:pPr>
              <w:spacing w:after="0"/>
            </w:pPr>
            <w:r>
              <w:rPr>
                <w:rFonts w:ascii="Times New Roman" w:hAnsi="Times New Roman"/>
                <w:sz w:val="16"/>
              </w:rPr>
              <w:t>6</w:t>
            </w:r>
          </w:p>
        </w:tc>
        <w:tc>
          <w:tcPr>
            <w:tcW w:type="dxa" w:w="1419"/>
            <w:vAlign w:val="center"/>
          </w:tcPr>
          <w:p>
            <w:pPr>
              <w:spacing w:after="0"/>
            </w:pPr>
            <w:r>
              <w:rPr>
                <w:rFonts w:ascii="Times New Roman" w:hAnsi="Times New Roman"/>
                <w:sz w:val="16"/>
              </w:rPr>
              <w:t>4</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37</w:t>
            </w:r>
          </w:p>
        </w:tc>
        <w:tc>
          <w:tcPr>
            <w:tcW w:type="dxa" w:w="1419"/>
            <w:vAlign w:val="center"/>
          </w:tcPr>
          <w:p>
            <w:pPr>
              <w:spacing w:after="0"/>
            </w:pPr>
            <w:r>
              <w:rPr>
                <w:rFonts w:ascii="Times New Roman" w:hAnsi="Times New Roman"/>
                <w:sz w:val="16"/>
              </w:rPr>
              <w:t>5</w:t>
            </w:r>
          </w:p>
        </w:tc>
        <w:tc>
          <w:tcPr>
            <w:tcW w:type="dxa" w:w="1419"/>
            <w:vAlign w:val="center"/>
          </w:tcPr>
          <w:p>
            <w:pPr>
              <w:spacing w:after="0"/>
            </w:pPr>
            <w:r>
              <w:rPr>
                <w:rFonts w:ascii="Times New Roman" w:hAnsi="Times New Roman"/>
                <w:sz w:val="16"/>
              </w:rPr>
              <w:t>97</w:t>
            </w:r>
          </w:p>
        </w:tc>
        <w:tc>
          <w:tcPr>
            <w:tcW w:type="dxa" w:w="1419"/>
            <w:vAlign w:val="center"/>
          </w:tcPr>
          <w:p>
            <w:pPr>
              <w:spacing w:after="0"/>
            </w:pPr>
            <w:r>
              <w:rPr>
                <w:rFonts w:ascii="Times New Roman" w:hAnsi="Times New Roman"/>
                <w:sz w:val="16"/>
              </w:rPr>
              <w:t>6</w:t>
            </w:r>
          </w:p>
        </w:tc>
        <w:tc>
          <w:tcPr>
            <w:tcW w:type="dxa" w:w="1419"/>
            <w:vAlign w:val="center"/>
          </w:tcPr>
          <w:p>
            <w:pPr>
              <w:spacing w:after="0"/>
            </w:pPr>
            <w:r>
              <w:rPr>
                <w:rFonts w:ascii="Times New Roman" w:hAnsi="Times New Roman"/>
                <w:sz w:val="16"/>
              </w:rPr>
              <w:t>6</w:t>
            </w:r>
          </w:p>
        </w:tc>
      </w:tr>
      <w:tr>
        <w:tc>
          <w:tcPr>
            <w:tcW w:type="dxa" w:w="1419"/>
            <w:vAlign w:val="center"/>
          </w:tcPr>
          <w:p>
            <w:pPr>
              <w:spacing w:after="0"/>
            </w:pPr>
            <w:r>
              <w:rPr>
                <w:rFonts w:ascii="Times New Roman" w:hAnsi="Times New Roman"/>
                <w:sz w:val="16"/>
              </w:rPr>
              <w:t>Ibex RV32IM</w:t>
            </w:r>
          </w:p>
        </w:tc>
        <w:tc>
          <w:tcPr>
            <w:tcW w:type="dxa" w:w="1419"/>
            <w:vAlign w:val="center"/>
          </w:tcPr>
          <w:p>
            <w:pPr>
              <w:spacing w:after="0"/>
            </w:pPr>
            <w:r>
              <w:rPr>
                <w:rFonts w:ascii="Times New Roman" w:hAnsi="Times New Roman"/>
                <w:sz w:val="16"/>
              </w:rPr>
              <w:t>ABC</w:t>
            </w:r>
          </w:p>
        </w:tc>
        <w:tc>
          <w:tcPr>
            <w:tcW w:type="dxa" w:w="1419"/>
            <w:vAlign w:val="center"/>
          </w:tcPr>
          <w:p>
            <w:pPr>
              <w:spacing w:after="0"/>
            </w:pPr>
            <w:r>
              <w:rPr>
                <w:rFonts w:ascii="Times New Roman" w:hAnsi="Times New Roman"/>
                <w:sz w:val="16"/>
              </w:rPr>
              <w:t>116</w:t>
            </w:r>
          </w:p>
        </w:tc>
        <w:tc>
          <w:tcPr>
            <w:tcW w:type="dxa" w:w="1419"/>
            <w:vAlign w:val="center"/>
          </w:tcPr>
          <w:p>
            <w:pPr>
              <w:spacing w:after="0"/>
            </w:pPr>
            <w:r>
              <w:rPr>
                <w:rFonts w:ascii="Times New Roman" w:hAnsi="Times New Roman"/>
                <w:sz w:val="16"/>
              </w:rPr>
              <w:t>12</w:t>
            </w:r>
          </w:p>
        </w:tc>
        <w:tc>
          <w:tcPr>
            <w:tcW w:type="dxa" w:w="1419"/>
            <w:vAlign w:val="center"/>
          </w:tcPr>
          <w:p>
            <w:pPr>
              <w:spacing w:after="0"/>
            </w:pPr>
            <w:r>
              <w:rPr>
                <w:rFonts w:ascii="Times New Roman" w:hAnsi="Times New Roman"/>
                <w:sz w:val="16"/>
              </w:rPr>
              <w:t>258</w:t>
            </w:r>
          </w:p>
        </w:tc>
        <w:tc>
          <w:tcPr>
            <w:tcW w:type="dxa" w:w="1419"/>
            <w:vAlign w:val="center"/>
          </w:tcPr>
          <w:p>
            <w:pPr>
              <w:spacing w:after="0"/>
            </w:pPr>
            <w:r>
              <w:rPr>
                <w:rFonts w:ascii="Times New Roman" w:hAnsi="Times New Roman"/>
                <w:sz w:val="16"/>
              </w:rPr>
              <w:t>6</w:t>
            </w:r>
          </w:p>
        </w:tc>
        <w:tc>
          <w:tcPr>
            <w:tcW w:type="dxa" w:w="1419"/>
            <w:vAlign w:val="center"/>
          </w:tcPr>
          <w:p>
            <w:pPr>
              <w:spacing w:after="0"/>
            </w:pPr>
            <w:r>
              <w:rPr>
                <w:rFonts w:ascii="Times New Roman" w:hAnsi="Times New Roman"/>
                <w:sz w:val="16"/>
              </w:rPr>
              <w:t>8</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41</w:t>
            </w:r>
          </w:p>
        </w:tc>
        <w:tc>
          <w:tcPr>
            <w:tcW w:type="dxa" w:w="1419"/>
            <w:vAlign w:val="center"/>
          </w:tcPr>
          <w:p>
            <w:pPr>
              <w:spacing w:after="0"/>
            </w:pPr>
            <w:r>
              <w:rPr>
                <w:rFonts w:ascii="Times New Roman" w:hAnsi="Times New Roman"/>
                <w:sz w:val="16"/>
              </w:rPr>
              <w:t>5</w:t>
            </w:r>
          </w:p>
        </w:tc>
        <w:tc>
          <w:tcPr>
            <w:tcW w:type="dxa" w:w="1419"/>
            <w:vAlign w:val="center"/>
          </w:tcPr>
          <w:p>
            <w:pPr>
              <w:spacing w:after="0"/>
            </w:pPr>
            <w:r>
              <w:rPr>
                <w:rFonts w:ascii="Times New Roman" w:hAnsi="Times New Roman"/>
                <w:sz w:val="16"/>
              </w:rPr>
              <w:t>104</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5</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48</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118</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5</w:t>
            </w:r>
          </w:p>
        </w:tc>
      </w:tr>
      <w:tr>
        <w:tc>
          <w:tcPr>
            <w:tcW w:type="dxa" w:w="1419"/>
            <w:vAlign w:val="center"/>
          </w:tcPr>
          <w:p>
            <w:pPr>
              <w:spacing w:after="0"/>
            </w:pPr>
            <w:r>
              <w:rPr>
                <w:rFonts w:ascii="Times New Roman" w:hAnsi="Times New Roman"/>
                <w:sz w:val="16"/>
              </w:rPr>
              <w:t>VexRiscv</w:t>
            </w:r>
          </w:p>
        </w:tc>
        <w:tc>
          <w:tcPr>
            <w:tcW w:type="dxa" w:w="1419"/>
            <w:vAlign w:val="center"/>
          </w:tcPr>
          <w:p>
            <w:pPr>
              <w:spacing w:after="0"/>
            </w:pPr>
            <w:r>
              <w:rPr>
                <w:rFonts w:ascii="Times New Roman" w:hAnsi="Times New Roman"/>
                <w:sz w:val="16"/>
              </w:rPr>
              <w:t>ABC</w:t>
            </w:r>
          </w:p>
        </w:tc>
        <w:tc>
          <w:tcPr>
            <w:tcW w:type="dxa" w:w="1419"/>
            <w:vAlign w:val="center"/>
          </w:tcPr>
          <w:p>
            <w:pPr>
              <w:spacing w:after="0"/>
            </w:pPr>
            <w:r>
              <w:rPr>
                <w:rFonts w:ascii="Times New Roman" w:hAnsi="Times New Roman"/>
                <w:sz w:val="16"/>
              </w:rPr>
              <w:t>89</w:t>
            </w:r>
          </w:p>
        </w:tc>
        <w:tc>
          <w:tcPr>
            <w:tcW w:type="dxa" w:w="1419"/>
            <w:vAlign w:val="center"/>
          </w:tcPr>
          <w:p>
            <w:pPr>
              <w:spacing w:after="0"/>
            </w:pPr>
            <w:r>
              <w:rPr>
                <w:rFonts w:ascii="Times New Roman" w:hAnsi="Times New Roman"/>
                <w:sz w:val="16"/>
              </w:rPr>
              <w:t>10</w:t>
            </w:r>
          </w:p>
        </w:tc>
        <w:tc>
          <w:tcPr>
            <w:tcW w:type="dxa" w:w="1419"/>
            <w:vAlign w:val="center"/>
          </w:tcPr>
          <w:p>
            <w:pPr>
              <w:spacing w:after="0"/>
            </w:pPr>
            <w:r>
              <w:rPr>
                <w:rFonts w:ascii="Times New Roman" w:hAnsi="Times New Roman"/>
                <w:sz w:val="16"/>
              </w:rPr>
              <w:t>190</w:t>
            </w:r>
          </w:p>
        </w:tc>
        <w:tc>
          <w:tcPr>
            <w:tcW w:type="dxa" w:w="1419"/>
            <w:vAlign w:val="center"/>
          </w:tcPr>
          <w:p>
            <w:pPr>
              <w:spacing w:after="0"/>
            </w:pPr>
            <w:r>
              <w:rPr>
                <w:rFonts w:ascii="Times New Roman" w:hAnsi="Times New Roman"/>
                <w:sz w:val="16"/>
              </w:rPr>
              <w:t>5</w:t>
            </w:r>
          </w:p>
        </w:tc>
        <w:tc>
          <w:tcPr>
            <w:tcW w:type="dxa" w:w="1419"/>
            <w:vAlign w:val="center"/>
          </w:tcPr>
          <w:p>
            <w:pPr>
              <w:spacing w:after="0"/>
            </w:pPr>
            <w:r>
              <w:rPr>
                <w:rFonts w:ascii="Times New Roman" w:hAnsi="Times New Roman"/>
                <w:sz w:val="16"/>
              </w:rPr>
              <w:t>7</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18</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48</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3</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21</w:t>
            </w:r>
          </w:p>
        </w:tc>
        <w:tc>
          <w:tcPr>
            <w:tcW w:type="dxa" w:w="1419"/>
            <w:vAlign w:val="center"/>
          </w:tcPr>
          <w:p>
            <w:pPr>
              <w:spacing w:after="0"/>
            </w:pPr>
            <w:r>
              <w:rPr>
                <w:rFonts w:ascii="Times New Roman" w:hAnsi="Times New Roman"/>
                <w:sz w:val="16"/>
              </w:rPr>
              <w:t>3</w:t>
            </w:r>
          </w:p>
        </w:tc>
        <w:tc>
          <w:tcPr>
            <w:tcW w:type="dxa" w:w="1419"/>
            <w:vAlign w:val="center"/>
          </w:tcPr>
          <w:p>
            <w:pPr>
              <w:spacing w:after="0"/>
            </w:pPr>
            <w:r>
              <w:rPr>
                <w:rFonts w:ascii="Times New Roman" w:hAnsi="Times New Roman"/>
                <w:sz w:val="16"/>
              </w:rPr>
              <w:t>54</w:t>
            </w:r>
          </w:p>
        </w:tc>
        <w:tc>
          <w:tcPr>
            <w:tcW w:type="dxa" w:w="1419"/>
            <w:vAlign w:val="center"/>
          </w:tcPr>
          <w:p>
            <w:pPr>
              <w:spacing w:after="0"/>
            </w:pPr>
            <w:r>
              <w:rPr>
                <w:rFonts w:ascii="Times New Roman" w:hAnsi="Times New Roman"/>
                <w:sz w:val="16"/>
              </w:rPr>
              <w:t>3</w:t>
            </w:r>
          </w:p>
        </w:tc>
        <w:tc>
          <w:tcPr>
            <w:tcW w:type="dxa" w:w="1419"/>
            <w:vAlign w:val="center"/>
          </w:tcPr>
          <w:p>
            <w:pPr>
              <w:spacing w:after="0"/>
            </w:pPr>
            <w:r>
              <w:rPr>
                <w:rFonts w:ascii="Times New Roman" w:hAnsi="Times New Roman"/>
                <w:sz w:val="16"/>
              </w:rPr>
              <w:t>5</w:t>
            </w:r>
          </w:p>
        </w:tc>
      </w:tr>
      <w:tr>
        <w:tc>
          <w:tcPr>
            <w:tcW w:type="dxa" w:w="1419"/>
            <w:vAlign w:val="center"/>
          </w:tcPr>
          <w:p>
            <w:pPr>
              <w:spacing w:after="0"/>
            </w:pPr>
            <w:r>
              <w:rPr>
                <w:rFonts w:ascii="Times New Roman" w:hAnsi="Times New Roman"/>
                <w:sz w:val="16"/>
              </w:rPr>
              <w:t>SPI</w:t>
            </w:r>
          </w:p>
        </w:tc>
        <w:tc>
          <w:tcPr>
            <w:tcW w:type="dxa" w:w="1419"/>
            <w:vAlign w:val="center"/>
          </w:tcPr>
          <w:p>
            <w:pPr>
              <w:spacing w:after="0"/>
            </w:pPr>
            <w:r>
              <w:rPr>
                <w:rFonts w:ascii="Times New Roman" w:hAnsi="Times New Roman"/>
                <w:sz w:val="16"/>
              </w:rPr>
              <w:t>ABC</w:t>
            </w:r>
          </w:p>
        </w:tc>
        <w:tc>
          <w:tcPr>
            <w:tcW w:type="dxa" w:w="1419"/>
            <w:vAlign w:val="center"/>
          </w:tcPr>
          <w:p>
            <w:pPr>
              <w:spacing w:after="0"/>
            </w:pPr>
            <w:r>
              <w:rPr>
                <w:rFonts w:ascii="Times New Roman" w:hAnsi="Times New Roman"/>
                <w:sz w:val="16"/>
              </w:rPr>
              <w:t>47</w:t>
            </w:r>
          </w:p>
        </w:tc>
        <w:tc>
          <w:tcPr>
            <w:tcW w:type="dxa" w:w="1419"/>
            <w:vAlign w:val="center"/>
          </w:tcPr>
          <w:p>
            <w:pPr>
              <w:spacing w:after="0"/>
            </w:pPr>
            <w:r>
              <w:rPr>
                <w:rFonts w:ascii="Times New Roman" w:hAnsi="Times New Roman"/>
                <w:sz w:val="16"/>
              </w:rPr>
              <w:t>8</w:t>
            </w:r>
          </w:p>
        </w:tc>
        <w:tc>
          <w:tcPr>
            <w:tcW w:type="dxa" w:w="1419"/>
            <w:vAlign w:val="center"/>
          </w:tcPr>
          <w:p>
            <w:pPr>
              <w:spacing w:after="0"/>
            </w:pPr>
            <w:r>
              <w:rPr>
                <w:rFonts w:ascii="Times New Roman" w:hAnsi="Times New Roman"/>
                <w:sz w:val="16"/>
              </w:rPr>
              <w:t>109</w:t>
            </w:r>
          </w:p>
        </w:tc>
        <w:tc>
          <w:tcPr>
            <w:tcW w:type="dxa" w:w="1419"/>
            <w:vAlign w:val="center"/>
          </w:tcPr>
          <w:p>
            <w:pPr>
              <w:spacing w:after="0"/>
            </w:pPr>
            <w:r>
              <w:rPr>
                <w:rFonts w:ascii="Times New Roman" w:hAnsi="Times New Roman"/>
                <w:sz w:val="16"/>
              </w:rPr>
              <w:t>5</w:t>
            </w:r>
          </w:p>
        </w:tc>
        <w:tc>
          <w:tcPr>
            <w:tcW w:type="dxa" w:w="1419"/>
            <w:vAlign w:val="center"/>
          </w:tcPr>
          <w:p>
            <w:pPr>
              <w:spacing w:after="0"/>
            </w:pPr>
            <w:r>
              <w:rPr>
                <w:rFonts w:ascii="Times New Roman" w:hAnsi="Times New Roman"/>
                <w:sz w:val="16"/>
              </w:rPr>
              <w:t>6</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ABC</w:t>
            </w:r>
          </w:p>
        </w:tc>
        <w:tc>
          <w:tcPr>
            <w:tcW w:type="dxa" w:w="1419"/>
            <w:vAlign w:val="center"/>
          </w:tcPr>
          <w:p>
            <w:pPr>
              <w:spacing w:after="0"/>
            </w:pPr>
            <w:r>
              <w:rPr>
                <w:rFonts w:ascii="Times New Roman" w:hAnsi="Times New Roman"/>
                <w:sz w:val="16"/>
              </w:rPr>
              <w:t>43</w:t>
            </w:r>
          </w:p>
        </w:tc>
        <w:tc>
          <w:tcPr>
            <w:tcW w:type="dxa" w:w="1419"/>
            <w:vAlign w:val="center"/>
          </w:tcPr>
          <w:p>
            <w:pPr>
              <w:spacing w:after="0"/>
            </w:pPr>
            <w:r>
              <w:rPr>
                <w:rFonts w:ascii="Times New Roman" w:hAnsi="Times New Roman"/>
                <w:sz w:val="16"/>
              </w:rPr>
              <w:t>12</w:t>
            </w:r>
          </w:p>
        </w:tc>
        <w:tc>
          <w:tcPr>
            <w:tcW w:type="dxa" w:w="1419"/>
            <w:vAlign w:val="center"/>
          </w:tcPr>
          <w:p>
            <w:pPr>
              <w:spacing w:after="0"/>
            </w:pPr>
            <w:r>
              <w:rPr>
                <w:rFonts w:ascii="Times New Roman" w:hAnsi="Times New Roman"/>
                <w:sz w:val="16"/>
              </w:rPr>
              <w:t>101</w:t>
            </w:r>
          </w:p>
        </w:tc>
        <w:tc>
          <w:tcPr>
            <w:tcW w:type="dxa" w:w="1419"/>
            <w:vAlign w:val="center"/>
          </w:tcPr>
          <w:p>
            <w:pPr>
              <w:spacing w:after="0"/>
            </w:pPr>
            <w:r>
              <w:rPr>
                <w:rFonts w:ascii="Times New Roman" w:hAnsi="Times New Roman"/>
                <w:sz w:val="16"/>
              </w:rPr>
              <w:t>8</w:t>
            </w:r>
          </w:p>
        </w:tc>
        <w:tc>
          <w:tcPr>
            <w:tcW w:type="dxa" w:w="1419"/>
            <w:vAlign w:val="center"/>
          </w:tcPr>
          <w:p>
            <w:pPr>
              <w:spacing w:after="0"/>
            </w:pPr>
            <w:r>
              <w:rPr>
                <w:rFonts w:ascii="Times New Roman" w:hAnsi="Times New Roman"/>
                <w:sz w:val="16"/>
              </w:rPr>
              <w:t>5</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22</w:t>
            </w:r>
          </w:p>
        </w:tc>
        <w:tc>
          <w:tcPr>
            <w:tcW w:type="dxa" w:w="1419"/>
            <w:vAlign w:val="center"/>
          </w:tcPr>
          <w:p>
            <w:pPr>
              <w:spacing w:after="0"/>
            </w:pPr>
            <w:r>
              <w:rPr>
                <w:rFonts w:ascii="Times New Roman" w:hAnsi="Times New Roman"/>
                <w:sz w:val="16"/>
              </w:rPr>
              <w:t>3</w:t>
            </w:r>
          </w:p>
        </w:tc>
        <w:tc>
          <w:tcPr>
            <w:tcW w:type="dxa" w:w="1419"/>
            <w:vAlign w:val="center"/>
          </w:tcPr>
          <w:p>
            <w:pPr>
              <w:spacing w:after="0"/>
            </w:pPr>
            <w:r>
              <w:rPr>
                <w:rFonts w:ascii="Times New Roman" w:hAnsi="Times New Roman"/>
                <w:sz w:val="16"/>
              </w:rPr>
              <w:t>59</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5</w:t>
            </w:r>
          </w:p>
        </w:tc>
      </w:tr>
      <w:tr>
        <w:tc>
          <w:tcPr>
            <w:tcW w:type="dxa" w:w="1419"/>
            <w:vAlign w:val="center"/>
          </w:tcPr>
          <w:p>
            <w:pPr>
              <w:spacing w:after="0"/>
            </w:pPr>
            <w:r>
              <w:rPr>
                <w:rFonts w:ascii="Times New Roman" w:hAnsi="Times New Roman"/>
                <w:sz w:val="16"/>
              </w:rPr>
              <w:t>I²C</w:t>
            </w:r>
          </w:p>
        </w:tc>
        <w:tc>
          <w:tcPr>
            <w:tcW w:type="dxa" w:w="1419"/>
            <w:vAlign w:val="center"/>
          </w:tcPr>
          <w:p>
            <w:pPr>
              <w:spacing w:after="0"/>
            </w:pPr>
            <w:r>
              <w:rPr>
                <w:rFonts w:ascii="Times New Roman" w:hAnsi="Times New Roman"/>
                <w:sz w:val="16"/>
              </w:rPr>
              <w:t>ABC</w:t>
            </w:r>
          </w:p>
        </w:tc>
        <w:tc>
          <w:tcPr>
            <w:tcW w:type="dxa" w:w="1419"/>
            <w:vAlign w:val="center"/>
          </w:tcPr>
          <w:p>
            <w:pPr>
              <w:spacing w:after="0"/>
            </w:pPr>
            <w:r>
              <w:rPr>
                <w:rFonts w:ascii="Times New Roman" w:hAnsi="Times New Roman"/>
                <w:sz w:val="16"/>
              </w:rPr>
              <w:t>41</w:t>
            </w:r>
          </w:p>
        </w:tc>
        <w:tc>
          <w:tcPr>
            <w:tcW w:type="dxa" w:w="1419"/>
            <w:vAlign w:val="center"/>
          </w:tcPr>
          <w:p>
            <w:pPr>
              <w:spacing w:after="0"/>
            </w:pPr>
            <w:r>
              <w:rPr>
                <w:rFonts w:ascii="Times New Roman" w:hAnsi="Times New Roman"/>
                <w:sz w:val="16"/>
              </w:rPr>
              <w:t>8</w:t>
            </w:r>
          </w:p>
        </w:tc>
        <w:tc>
          <w:tcPr>
            <w:tcW w:type="dxa" w:w="1419"/>
            <w:vAlign w:val="center"/>
          </w:tcPr>
          <w:p>
            <w:pPr>
              <w:spacing w:after="0"/>
            </w:pPr>
            <w:r>
              <w:rPr>
                <w:rFonts w:ascii="Times New Roman" w:hAnsi="Times New Roman"/>
                <w:sz w:val="16"/>
              </w:rPr>
              <w:t>96</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8</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ABC</w:t>
            </w:r>
          </w:p>
        </w:tc>
        <w:tc>
          <w:tcPr>
            <w:tcW w:type="dxa" w:w="1419"/>
            <w:vAlign w:val="center"/>
          </w:tcPr>
          <w:p>
            <w:pPr>
              <w:spacing w:after="0"/>
            </w:pPr>
            <w:r>
              <w:rPr>
                <w:rFonts w:ascii="Times New Roman" w:hAnsi="Times New Roman"/>
                <w:sz w:val="16"/>
              </w:rPr>
              <w:t>38</w:t>
            </w:r>
          </w:p>
        </w:tc>
        <w:tc>
          <w:tcPr>
            <w:tcW w:type="dxa" w:w="1419"/>
            <w:vAlign w:val="center"/>
          </w:tcPr>
          <w:p>
            <w:pPr>
              <w:spacing w:after="0"/>
            </w:pPr>
            <w:r>
              <w:rPr>
                <w:rFonts w:ascii="Times New Roman" w:hAnsi="Times New Roman"/>
                <w:sz w:val="16"/>
              </w:rPr>
              <w:t>10</w:t>
            </w:r>
          </w:p>
        </w:tc>
        <w:tc>
          <w:tcPr>
            <w:tcW w:type="dxa" w:w="1419"/>
            <w:vAlign w:val="center"/>
          </w:tcPr>
          <w:p>
            <w:pPr>
              <w:spacing w:after="0"/>
            </w:pPr>
            <w:r>
              <w:rPr>
                <w:rFonts w:ascii="Times New Roman" w:hAnsi="Times New Roman"/>
                <w:sz w:val="16"/>
              </w:rPr>
              <w:t>90</w:t>
            </w:r>
          </w:p>
        </w:tc>
        <w:tc>
          <w:tcPr>
            <w:tcW w:type="dxa" w:w="1419"/>
            <w:vAlign w:val="center"/>
          </w:tcPr>
          <w:p>
            <w:pPr>
              <w:spacing w:after="0"/>
            </w:pPr>
            <w:r>
              <w:rPr>
                <w:rFonts w:ascii="Times New Roman" w:hAnsi="Times New Roman"/>
                <w:sz w:val="16"/>
              </w:rPr>
              <w:t>5</w:t>
            </w:r>
          </w:p>
        </w:tc>
        <w:tc>
          <w:tcPr>
            <w:tcW w:type="dxa" w:w="1419"/>
            <w:vAlign w:val="center"/>
          </w:tcPr>
          <w:p>
            <w:pPr>
              <w:spacing w:after="0"/>
            </w:pPr>
            <w:r>
              <w:rPr>
                <w:rFonts w:ascii="Times New Roman" w:hAnsi="Times New Roman"/>
                <w:sz w:val="16"/>
              </w:rPr>
              <w:t>6</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24</w:t>
            </w:r>
          </w:p>
        </w:tc>
        <w:tc>
          <w:tcPr>
            <w:tcW w:type="dxa" w:w="1419"/>
            <w:vAlign w:val="center"/>
          </w:tcPr>
          <w:p>
            <w:pPr>
              <w:spacing w:after="0"/>
            </w:pPr>
            <w:r>
              <w:rPr>
                <w:rFonts w:ascii="Times New Roman" w:hAnsi="Times New Roman"/>
                <w:sz w:val="16"/>
              </w:rPr>
              <w:t>5</w:t>
            </w:r>
          </w:p>
        </w:tc>
        <w:tc>
          <w:tcPr>
            <w:tcW w:type="dxa" w:w="1419"/>
            <w:vAlign w:val="center"/>
          </w:tcPr>
          <w:p>
            <w:pPr>
              <w:spacing w:after="0"/>
            </w:pPr>
            <w:r>
              <w:rPr>
                <w:rFonts w:ascii="Times New Roman" w:hAnsi="Times New Roman"/>
                <w:sz w:val="16"/>
              </w:rPr>
              <w:t>62</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5</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25</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64</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4</w:t>
            </w:r>
          </w:p>
        </w:tc>
      </w:tr>
      <w:tr>
        <w:tc>
          <w:tcPr>
            <w:tcW w:type="dxa" w:w="1419"/>
            <w:vAlign w:val="center"/>
          </w:tcPr>
          <w:p>
            <w:pPr>
              <w:spacing w:after="0"/>
            </w:pPr>
            <w:r>
              <w:rPr>
                <w:rFonts w:ascii="Times New Roman" w:hAnsi="Times New Roman"/>
                <w:sz w:val="16"/>
              </w:rPr>
              <w:t>MDIO</w:t>
            </w:r>
          </w:p>
        </w:tc>
        <w:tc>
          <w:tcPr>
            <w:tcW w:type="dxa" w:w="1419"/>
            <w:vAlign w:val="center"/>
          </w:tcPr>
          <w:p>
            <w:pPr>
              <w:spacing w:after="0"/>
            </w:pPr>
            <w:r>
              <w:rPr>
                <w:rFonts w:ascii="Times New Roman" w:hAnsi="Times New Roman"/>
                <w:sz w:val="16"/>
              </w:rPr>
              <w:t>ABC</w:t>
            </w:r>
          </w:p>
        </w:tc>
        <w:tc>
          <w:tcPr>
            <w:tcW w:type="dxa" w:w="1419"/>
            <w:vAlign w:val="center"/>
          </w:tcPr>
          <w:p>
            <w:pPr>
              <w:spacing w:after="0"/>
            </w:pPr>
            <w:r>
              <w:rPr>
                <w:rFonts w:ascii="Times New Roman" w:hAnsi="Times New Roman"/>
                <w:sz w:val="16"/>
              </w:rPr>
              <w:t>31</w:t>
            </w:r>
          </w:p>
        </w:tc>
        <w:tc>
          <w:tcPr>
            <w:tcW w:type="dxa" w:w="1419"/>
            <w:vAlign w:val="center"/>
          </w:tcPr>
          <w:p>
            <w:pPr>
              <w:spacing w:after="0"/>
            </w:pPr>
            <w:r>
              <w:rPr>
                <w:rFonts w:ascii="Times New Roman" w:hAnsi="Times New Roman"/>
                <w:sz w:val="16"/>
              </w:rPr>
              <w:t>7</w:t>
            </w:r>
          </w:p>
        </w:tc>
        <w:tc>
          <w:tcPr>
            <w:tcW w:type="dxa" w:w="1419"/>
            <w:vAlign w:val="center"/>
          </w:tcPr>
          <w:p>
            <w:pPr>
              <w:spacing w:after="0"/>
            </w:pPr>
            <w:r>
              <w:rPr>
                <w:rFonts w:ascii="Times New Roman" w:hAnsi="Times New Roman"/>
                <w:sz w:val="16"/>
              </w:rPr>
              <w:t>75</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5</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ABC</w:t>
            </w:r>
          </w:p>
        </w:tc>
        <w:tc>
          <w:tcPr>
            <w:tcW w:type="dxa" w:w="1419"/>
            <w:vAlign w:val="center"/>
          </w:tcPr>
          <w:p>
            <w:pPr>
              <w:spacing w:after="0"/>
            </w:pPr>
            <w:r>
              <w:rPr>
                <w:rFonts w:ascii="Times New Roman" w:hAnsi="Times New Roman"/>
                <w:sz w:val="16"/>
              </w:rPr>
              <w:t>30</w:t>
            </w:r>
          </w:p>
        </w:tc>
        <w:tc>
          <w:tcPr>
            <w:tcW w:type="dxa" w:w="1419"/>
            <w:vAlign w:val="center"/>
          </w:tcPr>
          <w:p>
            <w:pPr>
              <w:spacing w:after="0"/>
            </w:pPr>
            <w:r>
              <w:rPr>
                <w:rFonts w:ascii="Times New Roman" w:hAnsi="Times New Roman"/>
                <w:sz w:val="16"/>
              </w:rPr>
              <w:t>9</w:t>
            </w:r>
          </w:p>
        </w:tc>
        <w:tc>
          <w:tcPr>
            <w:tcW w:type="dxa" w:w="1419"/>
            <w:vAlign w:val="center"/>
          </w:tcPr>
          <w:p>
            <w:pPr>
              <w:spacing w:after="0"/>
            </w:pPr>
            <w:r>
              <w:rPr>
                <w:rFonts w:ascii="Times New Roman" w:hAnsi="Times New Roman"/>
                <w:sz w:val="16"/>
              </w:rPr>
              <w:t>73</w:t>
            </w:r>
          </w:p>
        </w:tc>
        <w:tc>
          <w:tcPr>
            <w:tcW w:type="dxa" w:w="1419"/>
            <w:vAlign w:val="center"/>
          </w:tcPr>
          <w:p>
            <w:pPr>
              <w:spacing w:after="0"/>
            </w:pPr>
            <w:r>
              <w:rPr>
                <w:rFonts w:ascii="Times New Roman" w:hAnsi="Times New Roman"/>
                <w:sz w:val="16"/>
              </w:rPr>
              <w:t>5</w:t>
            </w:r>
          </w:p>
        </w:tc>
        <w:tc>
          <w:tcPr>
            <w:tcW w:type="dxa" w:w="1419"/>
            <w:vAlign w:val="center"/>
          </w:tcPr>
          <w:p>
            <w:pPr>
              <w:spacing w:after="0"/>
            </w:pPr>
            <w:r>
              <w:rPr>
                <w:rFonts w:ascii="Times New Roman" w:hAnsi="Times New Roman"/>
                <w:sz w:val="16"/>
              </w:rPr>
              <w:t>5</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17</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47</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3</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19</w:t>
            </w:r>
          </w:p>
        </w:tc>
        <w:tc>
          <w:tcPr>
            <w:tcW w:type="dxa" w:w="1419"/>
            <w:vAlign w:val="center"/>
          </w:tcPr>
          <w:p>
            <w:pPr>
              <w:spacing w:after="0"/>
            </w:pPr>
            <w:r>
              <w:rPr>
                <w:rFonts w:ascii="Times New Roman" w:hAnsi="Times New Roman"/>
                <w:sz w:val="16"/>
              </w:rPr>
              <w:t>3</w:t>
            </w:r>
          </w:p>
        </w:tc>
        <w:tc>
          <w:tcPr>
            <w:tcW w:type="dxa" w:w="1419"/>
            <w:vAlign w:val="center"/>
          </w:tcPr>
          <w:p>
            <w:pPr>
              <w:spacing w:after="0"/>
            </w:pPr>
            <w:r>
              <w:rPr>
                <w:rFonts w:ascii="Times New Roman" w:hAnsi="Times New Roman"/>
                <w:sz w:val="16"/>
              </w:rPr>
              <w:t>51</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3</w:t>
            </w:r>
          </w:p>
        </w:tc>
      </w:tr>
      <w:tr>
        <w:tc>
          <w:tcPr>
            <w:tcW w:type="dxa" w:w="1419"/>
            <w:vAlign w:val="center"/>
          </w:tcPr>
          <w:p>
            <w:pPr>
              <w:spacing w:after="0"/>
            </w:pPr>
            <w:r>
              <w:rPr>
                <w:rFonts w:ascii="Times New Roman" w:hAnsi="Times New Roman"/>
                <w:sz w:val="16"/>
              </w:rPr>
              <w:t>USB CDC</w:t>
            </w:r>
          </w:p>
        </w:tc>
        <w:tc>
          <w:tcPr>
            <w:tcW w:type="dxa" w:w="1419"/>
            <w:vAlign w:val="center"/>
          </w:tcPr>
          <w:p>
            <w:pPr>
              <w:spacing w:after="0"/>
            </w:pPr>
            <w:r>
              <w:rPr>
                <w:rFonts w:ascii="Times New Roman" w:hAnsi="Times New Roman"/>
                <w:sz w:val="16"/>
              </w:rPr>
              <w:t>ABC</w:t>
            </w:r>
          </w:p>
        </w:tc>
        <w:tc>
          <w:tcPr>
            <w:tcW w:type="dxa" w:w="1419"/>
            <w:vAlign w:val="center"/>
          </w:tcPr>
          <w:p>
            <w:pPr>
              <w:spacing w:after="0"/>
            </w:pPr>
            <w:r>
              <w:rPr>
                <w:rFonts w:ascii="Times New Roman" w:hAnsi="Times New Roman"/>
                <w:sz w:val="16"/>
              </w:rPr>
              <w:t>201</w:t>
            </w:r>
          </w:p>
        </w:tc>
        <w:tc>
          <w:tcPr>
            <w:tcW w:type="dxa" w:w="1419"/>
            <w:vAlign w:val="center"/>
          </w:tcPr>
          <w:p>
            <w:pPr>
              <w:spacing w:after="0"/>
            </w:pPr>
            <w:r>
              <w:rPr>
                <w:rFonts w:ascii="Times New Roman" w:hAnsi="Times New Roman"/>
                <w:sz w:val="16"/>
              </w:rPr>
              <w:t>13</w:t>
            </w:r>
          </w:p>
        </w:tc>
        <w:tc>
          <w:tcPr>
            <w:tcW w:type="dxa" w:w="1419"/>
            <w:vAlign w:val="center"/>
          </w:tcPr>
          <w:p>
            <w:pPr>
              <w:spacing w:after="0"/>
            </w:pPr>
            <w:r>
              <w:rPr>
                <w:rFonts w:ascii="Times New Roman" w:hAnsi="Times New Roman"/>
                <w:sz w:val="16"/>
              </w:rPr>
              <w:t>428</w:t>
            </w:r>
          </w:p>
        </w:tc>
        <w:tc>
          <w:tcPr>
            <w:tcW w:type="dxa" w:w="1419"/>
            <w:vAlign w:val="center"/>
          </w:tcPr>
          <w:p>
            <w:pPr>
              <w:spacing w:after="0"/>
            </w:pPr>
            <w:r>
              <w:rPr>
                <w:rFonts w:ascii="Times New Roman" w:hAnsi="Times New Roman"/>
                <w:sz w:val="16"/>
              </w:rPr>
              <w:t>7</w:t>
            </w:r>
          </w:p>
        </w:tc>
        <w:tc>
          <w:tcPr>
            <w:tcW w:type="dxa" w:w="1419"/>
            <w:vAlign w:val="center"/>
          </w:tcPr>
          <w:p>
            <w:pPr>
              <w:spacing w:after="0"/>
            </w:pPr>
            <w:r>
              <w:rPr>
                <w:rFonts w:ascii="Times New Roman" w:hAnsi="Times New Roman"/>
                <w:sz w:val="16"/>
              </w:rPr>
              <w:t>8</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80</w:t>
            </w:r>
          </w:p>
        </w:tc>
        <w:tc>
          <w:tcPr>
            <w:tcW w:type="dxa" w:w="1419"/>
            <w:vAlign w:val="center"/>
          </w:tcPr>
          <w:p>
            <w:pPr>
              <w:spacing w:after="0"/>
            </w:pPr>
            <w:r>
              <w:rPr>
                <w:rFonts w:ascii="Times New Roman" w:hAnsi="Times New Roman"/>
                <w:sz w:val="16"/>
              </w:rPr>
              <w:t>19</w:t>
            </w:r>
          </w:p>
        </w:tc>
        <w:tc>
          <w:tcPr>
            <w:tcW w:type="dxa" w:w="1419"/>
            <w:vAlign w:val="center"/>
          </w:tcPr>
          <w:p>
            <w:pPr>
              <w:spacing w:after="0"/>
            </w:pPr>
            <w:r>
              <w:rPr>
                <w:rFonts w:ascii="Times New Roman" w:hAnsi="Times New Roman"/>
                <w:sz w:val="16"/>
              </w:rPr>
              <w:t>196</w:t>
            </w:r>
          </w:p>
        </w:tc>
        <w:tc>
          <w:tcPr>
            <w:tcW w:type="dxa" w:w="1419"/>
            <w:vAlign w:val="center"/>
          </w:tcPr>
          <w:p>
            <w:pPr>
              <w:spacing w:after="0"/>
            </w:pPr>
            <w:r>
              <w:rPr>
                <w:rFonts w:ascii="Times New Roman" w:hAnsi="Times New Roman"/>
                <w:sz w:val="16"/>
              </w:rPr>
              <w:t>5</w:t>
            </w:r>
          </w:p>
        </w:tc>
        <w:tc>
          <w:tcPr>
            <w:tcW w:type="dxa" w:w="1419"/>
            <w:vAlign w:val="center"/>
          </w:tcPr>
          <w:p>
            <w:pPr>
              <w:spacing w:after="0"/>
            </w:pPr>
            <w:r>
              <w:rPr>
                <w:rFonts w:ascii="Times New Roman" w:hAnsi="Times New Roman"/>
                <w:sz w:val="16"/>
              </w:rPr>
              <w:t>4</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84</w:t>
            </w:r>
          </w:p>
        </w:tc>
        <w:tc>
          <w:tcPr>
            <w:tcW w:type="dxa" w:w="1419"/>
            <w:vAlign w:val="center"/>
          </w:tcPr>
          <w:p>
            <w:pPr>
              <w:spacing w:after="0"/>
            </w:pPr>
            <w:r>
              <w:rPr>
                <w:rFonts w:ascii="Times New Roman" w:hAnsi="Times New Roman"/>
                <w:sz w:val="16"/>
              </w:rPr>
              <w:t>11</w:t>
            </w:r>
          </w:p>
        </w:tc>
        <w:tc>
          <w:tcPr>
            <w:tcW w:type="dxa" w:w="1419"/>
            <w:vAlign w:val="center"/>
          </w:tcPr>
          <w:p>
            <w:pPr>
              <w:spacing w:after="0"/>
            </w:pPr>
            <w:r>
              <w:rPr>
                <w:rFonts w:ascii="Times New Roman" w:hAnsi="Times New Roman"/>
                <w:sz w:val="16"/>
              </w:rPr>
              <w:t>204</w:t>
            </w:r>
          </w:p>
        </w:tc>
        <w:tc>
          <w:tcPr>
            <w:tcW w:type="dxa" w:w="1419"/>
            <w:vAlign w:val="center"/>
          </w:tcPr>
          <w:p>
            <w:pPr>
              <w:spacing w:after="0"/>
            </w:pPr>
            <w:r>
              <w:rPr>
                <w:rFonts w:ascii="Times New Roman" w:hAnsi="Times New Roman"/>
                <w:sz w:val="16"/>
              </w:rPr>
              <w:t>6</w:t>
            </w:r>
          </w:p>
        </w:tc>
        <w:tc>
          <w:tcPr>
            <w:tcW w:type="dxa" w:w="1419"/>
            <w:vAlign w:val="center"/>
          </w:tcPr>
          <w:p>
            <w:pPr>
              <w:spacing w:after="0"/>
            </w:pPr>
            <w:r>
              <w:rPr>
                <w:rFonts w:ascii="Times New Roman" w:hAnsi="Times New Roman"/>
                <w:sz w:val="16"/>
              </w:rPr>
              <w:t>6</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112</w:t>
            </w:r>
          </w:p>
        </w:tc>
        <w:tc>
          <w:tcPr>
            <w:tcW w:type="dxa" w:w="1419"/>
            <w:vAlign w:val="center"/>
          </w:tcPr>
          <w:p>
            <w:pPr>
              <w:spacing w:after="0"/>
            </w:pPr>
            <w:r>
              <w:rPr>
                <w:rFonts w:ascii="Times New Roman" w:hAnsi="Times New Roman"/>
                <w:sz w:val="16"/>
              </w:rPr>
              <w:t>10</w:t>
            </w:r>
          </w:p>
        </w:tc>
        <w:tc>
          <w:tcPr>
            <w:tcW w:type="dxa" w:w="1419"/>
            <w:vAlign w:val="center"/>
          </w:tcPr>
          <w:p>
            <w:pPr>
              <w:spacing w:after="0"/>
            </w:pPr>
            <w:r>
              <w:rPr>
                <w:rFonts w:ascii="Times New Roman" w:hAnsi="Times New Roman"/>
                <w:sz w:val="16"/>
              </w:rPr>
              <w:t>260</w:t>
            </w:r>
          </w:p>
        </w:tc>
        <w:tc>
          <w:tcPr>
            <w:tcW w:type="dxa" w:w="1419"/>
            <w:vAlign w:val="center"/>
          </w:tcPr>
          <w:p>
            <w:pPr>
              <w:spacing w:after="0"/>
            </w:pPr>
            <w:r>
              <w:rPr>
                <w:rFonts w:ascii="Times New Roman" w:hAnsi="Times New Roman"/>
                <w:sz w:val="16"/>
              </w:rPr>
              <w:t>6</w:t>
            </w:r>
          </w:p>
        </w:tc>
        <w:tc>
          <w:tcPr>
            <w:tcW w:type="dxa" w:w="1419"/>
            <w:vAlign w:val="center"/>
          </w:tcPr>
          <w:p>
            <w:pPr>
              <w:spacing w:after="0"/>
            </w:pPr>
            <w:r>
              <w:rPr>
                <w:rFonts w:ascii="Times New Roman" w:hAnsi="Times New Roman"/>
                <w:sz w:val="16"/>
              </w:rPr>
              <w:t>5</w:t>
            </w:r>
          </w:p>
        </w:tc>
      </w:tr>
      <w:tr>
        <w:tc>
          <w:tcPr>
            <w:tcW w:type="dxa" w:w="1419"/>
            <w:vAlign w:val="center"/>
          </w:tcPr>
          <w:p>
            <w:pPr>
              <w:spacing w:after="0"/>
            </w:pPr>
            <w:r>
              <w:rPr>
                <w:rFonts w:ascii="Times New Roman" w:hAnsi="Times New Roman"/>
                <w:sz w:val="16"/>
              </w:rPr>
              <w:t>USB HID</w:t>
            </w:r>
          </w:p>
        </w:tc>
        <w:tc>
          <w:tcPr>
            <w:tcW w:type="dxa" w:w="1419"/>
            <w:vAlign w:val="center"/>
          </w:tcPr>
          <w:p>
            <w:pPr>
              <w:spacing w:after="0"/>
            </w:pPr>
            <w:r>
              <w:rPr>
                <w:rFonts w:ascii="Times New Roman" w:hAnsi="Times New Roman"/>
                <w:sz w:val="16"/>
              </w:rPr>
              <w:t>ABC</w:t>
            </w:r>
          </w:p>
        </w:tc>
        <w:tc>
          <w:tcPr>
            <w:tcW w:type="dxa" w:w="1419"/>
            <w:vAlign w:val="center"/>
          </w:tcPr>
          <w:p>
            <w:pPr>
              <w:spacing w:after="0"/>
            </w:pPr>
            <w:r>
              <w:rPr>
                <w:rFonts w:ascii="Times New Roman" w:hAnsi="Times New Roman"/>
                <w:sz w:val="16"/>
              </w:rPr>
              <w:t>242</w:t>
            </w:r>
          </w:p>
        </w:tc>
        <w:tc>
          <w:tcPr>
            <w:tcW w:type="dxa" w:w="1419"/>
            <w:vAlign w:val="center"/>
          </w:tcPr>
          <w:p>
            <w:pPr>
              <w:spacing w:after="0"/>
            </w:pPr>
            <w:r>
              <w:rPr>
                <w:rFonts w:ascii="Times New Roman" w:hAnsi="Times New Roman"/>
                <w:sz w:val="16"/>
              </w:rPr>
              <w:t>20</w:t>
            </w:r>
          </w:p>
        </w:tc>
        <w:tc>
          <w:tcPr>
            <w:tcW w:type="dxa" w:w="1419"/>
            <w:vAlign w:val="center"/>
          </w:tcPr>
          <w:p>
            <w:pPr>
              <w:spacing w:after="0"/>
            </w:pPr>
            <w:r>
              <w:rPr>
                <w:rFonts w:ascii="Times New Roman" w:hAnsi="Times New Roman"/>
                <w:sz w:val="16"/>
              </w:rPr>
              <w:t>509</w:t>
            </w:r>
          </w:p>
        </w:tc>
        <w:tc>
          <w:tcPr>
            <w:tcW w:type="dxa" w:w="1419"/>
            <w:vAlign w:val="center"/>
          </w:tcPr>
          <w:p>
            <w:pPr>
              <w:spacing w:after="0"/>
            </w:pPr>
            <w:r>
              <w:rPr>
                <w:rFonts w:ascii="Times New Roman" w:hAnsi="Times New Roman"/>
                <w:sz w:val="16"/>
              </w:rPr>
              <w:t>6</w:t>
            </w:r>
          </w:p>
        </w:tc>
        <w:tc>
          <w:tcPr>
            <w:tcW w:type="dxa" w:w="1419"/>
            <w:vAlign w:val="center"/>
          </w:tcPr>
          <w:p>
            <w:pPr>
              <w:spacing w:after="0"/>
            </w:pPr>
            <w:r>
              <w:rPr>
                <w:rFonts w:ascii="Times New Roman" w:hAnsi="Times New Roman"/>
                <w:sz w:val="16"/>
              </w:rPr>
              <w:t>12</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36</w:t>
            </w:r>
          </w:p>
        </w:tc>
        <w:tc>
          <w:tcPr>
            <w:tcW w:type="dxa" w:w="1419"/>
            <w:vAlign w:val="center"/>
          </w:tcPr>
          <w:p>
            <w:pPr>
              <w:spacing w:after="0"/>
            </w:pPr>
            <w:r>
              <w:rPr>
                <w:rFonts w:ascii="Times New Roman" w:hAnsi="Times New Roman"/>
                <w:sz w:val="16"/>
              </w:rPr>
              <w:t>6</w:t>
            </w:r>
          </w:p>
        </w:tc>
        <w:tc>
          <w:tcPr>
            <w:tcW w:type="dxa" w:w="1419"/>
            <w:vAlign w:val="center"/>
          </w:tcPr>
          <w:p>
            <w:pPr>
              <w:spacing w:after="0"/>
            </w:pPr>
            <w:r>
              <w:rPr>
                <w:rFonts w:ascii="Times New Roman" w:hAnsi="Times New Roman"/>
                <w:sz w:val="16"/>
              </w:rPr>
              <w:t>94</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8</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37</w:t>
            </w:r>
          </w:p>
        </w:tc>
        <w:tc>
          <w:tcPr>
            <w:tcW w:type="dxa" w:w="1419"/>
            <w:vAlign w:val="center"/>
          </w:tcPr>
          <w:p>
            <w:pPr>
              <w:spacing w:after="0"/>
            </w:pPr>
            <w:r>
              <w:rPr>
                <w:rFonts w:ascii="Times New Roman" w:hAnsi="Times New Roman"/>
                <w:sz w:val="16"/>
              </w:rPr>
              <w:t>5</w:t>
            </w:r>
          </w:p>
        </w:tc>
        <w:tc>
          <w:tcPr>
            <w:tcW w:type="dxa" w:w="1419"/>
            <w:vAlign w:val="center"/>
          </w:tcPr>
          <w:p>
            <w:pPr>
              <w:spacing w:after="0"/>
            </w:pPr>
            <w:r>
              <w:rPr>
                <w:rFonts w:ascii="Times New Roman" w:hAnsi="Times New Roman"/>
                <w:sz w:val="16"/>
              </w:rPr>
              <w:t>99</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5</w:t>
            </w:r>
          </w:p>
        </w:tc>
      </w:tr>
      <w:tr>
        <w:tc>
          <w:tcPr>
            <w:tcW w:type="dxa" w:w="1419"/>
            <w:vAlign w:val="center"/>
          </w:tcPr>
          <w:p>
            <w:pPr>
              <w:spacing w:after="0"/>
            </w:pPr>
            <w:r>
              <w:rPr>
                <w:rFonts w:ascii="Times New Roman" w:hAnsi="Times New Roman"/>
                <w:sz w:val="16"/>
              </w:rPr>
            </w:r>
          </w:p>
        </w:tc>
        <w:tc>
          <w:tcPr>
            <w:tcW w:type="dxa" w:w="1419"/>
            <w:vAlign w:val="center"/>
          </w:tcPr>
          <w:p>
            <w:pPr>
              <w:spacing w:after="0"/>
            </w:pPr>
            <w:r>
              <w:rPr>
                <w:rFonts w:ascii="Times New Roman" w:hAnsi="Times New Roman"/>
                <w:sz w:val="16"/>
              </w:rPr>
              <w:t>GT</w:t>
            </w:r>
          </w:p>
        </w:tc>
        <w:tc>
          <w:tcPr>
            <w:tcW w:type="dxa" w:w="1419"/>
            <w:vAlign w:val="center"/>
          </w:tcPr>
          <w:p>
            <w:pPr>
              <w:spacing w:after="0"/>
            </w:pPr>
            <w:r>
              <w:rPr>
                <w:rFonts w:ascii="Times New Roman" w:hAnsi="Times New Roman"/>
                <w:sz w:val="16"/>
              </w:rPr>
              <w:t>42</w:t>
            </w:r>
          </w:p>
        </w:tc>
        <w:tc>
          <w:tcPr>
            <w:tcW w:type="dxa" w:w="1419"/>
            <w:vAlign w:val="center"/>
          </w:tcPr>
          <w:p>
            <w:pPr>
              <w:spacing w:after="0"/>
            </w:pPr>
            <w:r>
              <w:rPr>
                <w:rFonts w:ascii="Times New Roman" w:hAnsi="Times New Roman"/>
                <w:sz w:val="16"/>
              </w:rPr>
              <w:t>4</w:t>
            </w:r>
          </w:p>
        </w:tc>
        <w:tc>
          <w:tcPr>
            <w:tcW w:type="dxa" w:w="1419"/>
            <w:vAlign w:val="center"/>
          </w:tcPr>
          <w:p>
            <w:pPr>
              <w:spacing w:after="0"/>
            </w:pPr>
            <w:r>
              <w:rPr>
                <w:rFonts w:ascii="Times New Roman" w:hAnsi="Times New Roman"/>
                <w:sz w:val="16"/>
              </w:rPr>
              <w:t>109</w:t>
            </w:r>
          </w:p>
        </w:tc>
        <w:tc>
          <w:tcPr>
            <w:tcW w:type="dxa" w:w="1419"/>
            <w:vAlign w:val="center"/>
          </w:tcPr>
          <w:p>
            <w:pPr>
              <w:spacing w:after="0"/>
            </w:pPr>
            <w:r>
              <w:rPr>
                <w:rFonts w:ascii="Times New Roman" w:hAnsi="Times New Roman"/>
                <w:sz w:val="16"/>
              </w:rPr>
              <w:t>3</w:t>
            </w:r>
          </w:p>
        </w:tc>
        <w:tc>
          <w:tcPr>
            <w:tcW w:type="dxa" w:w="1419"/>
            <w:vAlign w:val="center"/>
          </w:tcPr>
          <w:p>
            <w:pPr>
              <w:spacing w:after="0"/>
            </w:pPr>
            <w:r>
              <w:rPr>
                <w:rFonts w:ascii="Times New Roman" w:hAnsi="Times New Roman"/>
                <w:sz w:val="16"/>
              </w:rPr>
              <w:t>6</w:t>
            </w:r>
          </w:p>
        </w:tc>
      </w:tr>
    </w:tbl>
    <w:p>
      <w:pPr>
        <w:spacing w:after="100" w:line="252" w:lineRule="auto"/>
      </w:pPr>
      <w:r>
        <w:rPr>
          <w:rFonts w:ascii="Times New Roman" w:hAnsi="Times New Roman"/>
          <w:b w:val="0"/>
          <w:i/>
          <w:sz w:val="21"/>
        </w:rPr>
        <w:t>The final manuscript should include the complete benchmark table rather than only this selected set.</w:t>
      </w:r>
    </w:p>
    <w:p>
      <w:pPr>
        <w:pStyle w:val="Heading1"/>
        <w:spacing w:before="160" w:after="80"/>
      </w:pPr>
      <w:r>
        <w:t>15. Discussion</w:t>
      </w:r>
    </w:p>
    <w:p>
      <w:pPr>
        <w:pStyle w:val="Heading2"/>
        <w:spacing w:before="160" w:after="80"/>
      </w:pPr>
      <w:r>
        <w:t>15.1 Answer to RQ1</w:t>
      </w:r>
    </w:p>
    <w:p>
      <w:pPr>
        <w:spacing w:after="100" w:line="252" w:lineRule="auto"/>
      </w:pPr>
      <w:r>
        <w:rPr>
          <w:rFonts w:ascii="Times New Roman" w:hAnsi="Times New Roman"/>
          <w:b w:val="0"/>
          <w:i w:val="0"/>
          <w:sz w:val="21"/>
        </w:rPr>
        <w:t>Can direct care-domain synthesis reduce implementation complexity? The experimental evidence indicates that it can. Substantial gate reductions are observed across multiple benchmark families, often accompanied by reductions in depth and wiring. Importantly, the result is not simply that GT finds networks with fewer gates while sacrificing all other structural properties. In several examples, the GT implementation simultaneously improves gate count, logic depth, wire count, and one or both fan-out metrics.</w:t>
      </w:r>
    </w:p>
    <w:p>
      <w:pPr>
        <w:pStyle w:val="Heading2"/>
        <w:spacing w:before="160" w:after="80"/>
      </w:pPr>
      <w:r>
        <w:t>15.2 Answer to RQ2</w:t>
      </w:r>
    </w:p>
    <w:p>
      <w:pPr>
        <w:spacing w:after="100" w:line="252" w:lineRule="auto"/>
      </w:pPr>
      <w:r>
        <w:rPr>
          <w:rFonts w:ascii="Times New Roman" w:hAnsi="Times New Roman"/>
          <w:b w:val="0"/>
          <w:i w:val="0"/>
          <w:sz w:val="21"/>
        </w:rPr>
        <w:t>Does the behavior persist across different control semantics? The observed effect is not restricted to a single protocol or one particular form of decoder. It appears in processor instruction/control projections, communication command decoders, address filters, register controllers, USB request processing, and industrial communication protocols.</w:t>
      </w:r>
    </w:p>
    <w:p>
      <w:pPr>
        <w:spacing w:after="100" w:line="252" w:lineRule="auto"/>
      </w:pPr>
      <w:r>
        <w:rPr>
          <w:rFonts w:ascii="Times New Roman" w:hAnsi="Times New Roman"/>
          <w:b w:val="0"/>
          <w:i w:val="0"/>
          <w:sz w:val="21"/>
        </w:rPr>
        <w:t>The magnitude varies substantially, which is expected. Semantic incompleteness alone does not determine implementation complexity. The topology of the care domain and relationships among the required outputs also influence how much structural simplification is available.</w:t>
      </w:r>
    </w:p>
    <w:p>
      <w:pPr>
        <w:pStyle w:val="Heading2"/>
        <w:spacing w:before="160" w:after="80"/>
      </w:pPr>
      <w:r>
        <w:t>15.3 Answer to RQ3</w:t>
      </w:r>
    </w:p>
    <w:p>
      <w:pPr>
        <w:spacing w:after="100" w:line="252" w:lineRule="auto"/>
      </w:pPr>
      <w:r>
        <w:rPr>
          <w:rFonts w:ascii="Times New Roman" w:hAnsi="Times New Roman"/>
          <w:b w:val="0"/>
          <w:i w:val="0"/>
          <w:sz w:val="21"/>
        </w:rPr>
        <w:t>Does direct semantic synthesis expose useful Pareto alternatives? Yes. I²C, MDIO, USB CDC, USB HID, and several processor benchmarks exhibit distinct area-depth alternatives. This is important because a designer may prefer minimum gate count in one implementation context and minimum depth in another. DfS therefore appears naturally suited to multi-objective synthesis.</w:t>
      </w:r>
    </w:p>
    <w:p>
      <w:pPr>
        <w:pStyle w:val="Heading1"/>
        <w:spacing w:before="160" w:after="80"/>
      </w:pPr>
      <w:r>
        <w:t>16. What the Results Do — and Do Not — Establish</w:t>
      </w:r>
    </w:p>
    <w:p>
      <w:pPr>
        <w:spacing w:after="100" w:line="252" w:lineRule="auto"/>
      </w:pPr>
      <w:r>
        <w:rPr>
          <w:rFonts w:ascii="Times New Roman" w:hAnsi="Times New Roman"/>
          <w:b w:val="0"/>
          <w:i w:val="0"/>
          <w:sz w:val="21"/>
        </w:rPr>
        <w:t>Careful interpretation is important. The experiments demonstrate that the direct semantic synthesis approach can discover implementations that differ substantially from those obtained using the evaluated ABC flow.</w:t>
      </w:r>
    </w:p>
    <w:p>
      <w:pPr>
        <w:spacing w:after="100" w:line="252" w:lineRule="auto"/>
      </w:pPr>
      <w:r>
        <w:rPr>
          <w:rFonts w:ascii="Times New Roman" w:hAnsi="Times New Roman"/>
          <w:b w:val="0"/>
          <w:i w:val="0"/>
          <w:sz w:val="21"/>
        </w:rPr>
        <w:t>They do not, by themselves, prove that conventional synthesis fundamentally cannot obtain such circuits. Nor do the experiments establish that a conventional tool necessarily discards all don't-care information. Such stronger claims would require a different experimental and theoretical analysis.</w:t>
      </w:r>
    </w:p>
    <w:p>
      <w:pPr>
        <w:spacing w:after="100" w:line="252" w:lineRule="auto"/>
      </w:pPr>
      <w:r>
        <w:rPr>
          <w:rFonts w:ascii="Times New Roman" w:hAnsi="Times New Roman"/>
          <w:b w:val="0"/>
          <w:i w:val="0"/>
          <w:sz w:val="21"/>
        </w:rPr>
        <w:t>Our conclusion is deliberately narrower:</w:t>
      </w:r>
    </w:p>
    <w:p>
      <w:pPr>
        <w:spacing w:after="100" w:line="252" w:lineRule="auto"/>
      </w:pPr>
      <w:r>
        <w:rPr>
          <w:rFonts w:ascii="Times New Roman" w:hAnsi="Times New Roman"/>
          <w:b/>
          <w:i w:val="0"/>
          <w:sz w:val="21"/>
        </w:rPr>
        <w:t>Direct synthesis under care-domain compatibility can discover implementations substantially different from—and, in these experiments, often smaller and shallower than—those obtained by the evaluated conventional synthesis flow.</w:t>
      </w:r>
    </w:p>
    <w:p>
      <w:pPr>
        <w:spacing w:after="100" w:line="252" w:lineRule="auto"/>
      </w:pPr>
      <w:r>
        <w:rPr>
          <w:rFonts w:ascii="Times New Roman" w:hAnsi="Times New Roman"/>
          <w:b w:val="0"/>
          <w:i w:val="0"/>
          <w:sz w:val="21"/>
        </w:rPr>
        <w:t>This statement is directly supported by the experimental observations and does not depend on assumptions about the internal limitations of the reference synthesis system.</w:t>
      </w:r>
    </w:p>
    <w:p>
      <w:pPr>
        <w:pStyle w:val="Heading1"/>
        <w:spacing w:before="160" w:after="80"/>
      </w:pPr>
      <w:r>
        <w:t>17. Why Care-Domain Synthesis Can Produce Different Structures</w:t>
      </w:r>
    </w:p>
    <w:p>
      <w:pPr>
        <w:spacing w:after="100" w:line="252" w:lineRule="auto"/>
      </w:pPr>
      <w:r>
        <w:rPr>
          <w:rFonts w:ascii="Times New Roman" w:hAnsi="Times New Roman"/>
          <w:b w:val="0"/>
          <w:i w:val="0"/>
          <w:sz w:val="21"/>
        </w:rPr>
        <w:t>Consider a PDBF F:D→Bᵐ. There may exist many globally defined circuits C₁,C₂,…,Cₖ that all satisfy</w:t>
      </w:r>
    </w:p>
    <w:p>
      <w:pPr>
        <w:spacing w:after="120"/>
        <w:jc w:val="center"/>
      </w:pPr>
      <w:r>
        <w:rPr>
          <w:rFonts w:ascii="Cambria Math" w:hAnsi="Cambria Math"/>
          <w:sz w:val="22"/>
        </w:rPr>
        <w:t>Cᵢ(x) = F(x),   x ∈ D.</w:t>
      </w:r>
    </w:p>
    <w:p>
      <w:pPr>
        <w:spacing w:after="100" w:line="252" w:lineRule="auto"/>
      </w:pPr>
      <w:r>
        <w:rPr>
          <w:rFonts w:ascii="Times New Roman" w:hAnsi="Times New Roman"/>
          <w:b w:val="0"/>
          <w:i w:val="0"/>
          <w:sz w:val="21"/>
        </w:rPr>
        <w:t>Their behavior outside D may differ arbitrarily. Consequently, their circuit complexities may also differ.</w:t>
      </w:r>
    </w:p>
    <w:p>
      <w:pPr>
        <w:spacing w:after="100" w:line="252" w:lineRule="auto"/>
      </w:pPr>
      <w:r>
        <w:rPr>
          <w:rFonts w:ascii="Times New Roman" w:hAnsi="Times New Roman"/>
          <w:b w:val="0"/>
          <w:i w:val="0"/>
          <w:sz w:val="21"/>
        </w:rPr>
        <w:t>A structural optimization flow beginning from one representation explores transformations accessible from that representation under its chosen correctness and optimization mechanisms. Direct semantic synthesis instead searches under the constraint</w:t>
      </w:r>
    </w:p>
    <w:p>
      <w:pPr>
        <w:spacing w:after="120"/>
        <w:jc w:val="center"/>
      </w:pPr>
      <w:r>
        <w:rPr>
          <w:rFonts w:ascii="Cambria Math" w:hAnsi="Cambria Math"/>
          <w:sz w:val="22"/>
        </w:rPr>
        <w:t>C|D = F.</w:t>
      </w:r>
    </w:p>
    <w:p>
      <w:pPr>
        <w:spacing w:after="100" w:line="252" w:lineRule="auto"/>
      </w:pPr>
      <w:r>
        <w:rPr>
          <w:rFonts w:ascii="Times New Roman" w:hAnsi="Times New Roman"/>
          <w:b w:val="0"/>
          <w:i w:val="0"/>
          <w:sz w:val="21"/>
        </w:rPr>
        <w:t>This changes the search space. The experimental results suggest that, for some control functions, this difference can be substantial. We therefore view the care domain not merely as verification metadata but as a potentially useful synthesis resource.</w:t>
      </w:r>
    </w:p>
    <w:p>
      <w:pPr>
        <w:pStyle w:val="Heading1"/>
        <w:spacing w:before="160" w:after="80"/>
      </w:pPr>
      <w:r>
        <w:t>18. Threats to Validity and Limitations</w:t>
      </w:r>
    </w:p>
    <w:p>
      <w:pPr>
        <w:spacing w:after="100" w:line="252" w:lineRule="auto"/>
      </w:pPr>
      <w:r>
        <w:rPr>
          <w:rFonts w:ascii="Times New Roman" w:hAnsi="Times New Roman"/>
          <w:b w:val="0"/>
          <w:i w:val="0"/>
          <w:sz w:val="21"/>
        </w:rPr>
        <w:t>Several limitations must accompany the experimental claims.</w:t>
      </w:r>
    </w:p>
    <w:p>
      <w:pPr>
        <w:spacing w:after="100" w:line="252" w:lineRule="auto"/>
      </w:pPr>
      <w:r>
        <w:rPr>
          <w:rFonts w:ascii="Times New Roman" w:hAnsi="Times New Roman"/>
          <w:b w:val="0"/>
          <w:i w:val="0"/>
          <w:sz w:val="21"/>
        </w:rPr>
        <w:t>First, the benchmark set is dominated by combinational control logic. The results should not automatically be generalized to arithmetic datapaths or arbitrary sequential circuits.</w:t>
      </w:r>
    </w:p>
    <w:p>
      <w:pPr>
        <w:spacing w:after="100" w:line="252" w:lineRule="auto"/>
      </w:pPr>
      <w:r>
        <w:rPr>
          <w:rFonts w:ascii="Times New Roman" w:hAnsi="Times New Roman"/>
          <w:b w:val="0"/>
          <w:i w:val="0"/>
          <w:sz w:val="21"/>
        </w:rPr>
        <w:t>Second, ABC is currently the principal conventional synthesis reference. The conclusions in this paper therefore concern the evaluated reference flow rather than all possible conventional synthesis procedures.</w:t>
      </w:r>
    </w:p>
    <w:p>
      <w:pPr>
        <w:spacing w:after="100" w:line="252" w:lineRule="auto"/>
      </w:pPr>
      <w:r>
        <w:rPr>
          <w:rFonts w:ascii="Times New Roman" w:hAnsi="Times New Roman"/>
          <w:b w:val="0"/>
          <w:i w:val="0"/>
          <w:sz w:val="21"/>
        </w:rPr>
        <w:t>Third, gates, levels, wires, and fan-out are technology-independent structural metrics. They are useful proxies but do not directly establish improvements in silicon area, timing, power, or energy.</w:t>
      </w:r>
    </w:p>
    <w:p>
      <w:pPr>
        <w:spacing w:after="100" w:line="252" w:lineRule="auto"/>
      </w:pPr>
      <w:r>
        <w:rPr>
          <w:rFonts w:ascii="Times New Roman" w:hAnsi="Times New Roman"/>
          <w:b w:val="0"/>
          <w:i w:val="0"/>
          <w:sz w:val="21"/>
        </w:rPr>
        <w:t>Fourth, semantic benchmark construction must be performed carefully. An omitted input assignment is a legitimate don't-care only when system semantics truly impose no requirement on its output. Artificially deleting difficult care points would produce misleading results. Therefore, the semantic origin of each benchmark's care domain should be documented.</w:t>
      </w:r>
    </w:p>
    <w:p>
      <w:pPr>
        <w:spacing w:after="100" w:line="252" w:lineRule="auto"/>
      </w:pPr>
      <w:r>
        <w:rPr>
          <w:rFonts w:ascii="Times New Roman" w:hAnsi="Times New Roman"/>
          <w:b w:val="0"/>
          <w:i w:val="0"/>
          <w:sz w:val="21"/>
        </w:rPr>
        <w:t>Finally, because synthesis operates on partial specifications, independent care-domain verification is essential. No candidate should be accepted solely because the synthesis procedure reports it as valid.</w:t>
      </w:r>
    </w:p>
    <w:p>
      <w:pPr>
        <w:pStyle w:val="Heading1"/>
        <w:spacing w:before="160" w:after="80"/>
      </w:pPr>
      <w:r>
        <w:t>19. Conclusion</w:t>
      </w:r>
    </w:p>
    <w:p>
      <w:pPr>
        <w:spacing w:after="100" w:line="252" w:lineRule="auto"/>
      </w:pPr>
      <w:r>
        <w:rPr>
          <w:rFonts w:ascii="Times New Roman" w:hAnsi="Times New Roman"/>
          <w:b w:val="0"/>
          <w:i w:val="0"/>
          <w:sz w:val="21"/>
        </w:rPr>
        <w:t>This work investigated logic synthesis directly from partially defined semantic specifications.</w:t>
      </w:r>
    </w:p>
    <w:p>
      <w:pPr>
        <w:spacing w:after="100" w:line="252" w:lineRule="auto"/>
      </w:pPr>
      <w:r>
        <w:rPr>
          <w:rFonts w:ascii="Times New Roman" w:hAnsi="Times New Roman"/>
          <w:b w:val="0"/>
          <w:i w:val="0"/>
          <w:sz w:val="21"/>
        </w:rPr>
        <w:t>Instead of requiring a candidate implementation to reproduce one predetermined behavior over the complete Boolean input space, Design from Semantics requires compatibility only over the semantic care domain:</w:t>
      </w:r>
    </w:p>
    <w:p>
      <w:pPr>
        <w:spacing w:after="120"/>
        <w:jc w:val="center"/>
      </w:pPr>
      <w:r>
        <w:rPr>
          <w:rFonts w:ascii="Cambria Math" w:hAnsi="Cambria Math"/>
          <w:sz w:val="22"/>
        </w:rPr>
        <w:t>∀ x ∈ D,   C(x) = F(x).</w:t>
      </w:r>
    </w:p>
    <w:p>
      <w:pPr>
        <w:spacing w:after="100" w:line="252" w:lineRule="auto"/>
      </w:pPr>
      <w:r>
        <w:rPr>
          <w:rFonts w:ascii="Times New Roman" w:hAnsi="Times New Roman"/>
          <w:b w:val="0"/>
          <w:i w:val="0"/>
          <w:sz w:val="21"/>
        </w:rPr>
        <w:t>Behavior outside D remains unconstrained and can therefore participate in implementation optimization.</w:t>
      </w:r>
    </w:p>
    <w:p>
      <w:pPr>
        <w:spacing w:after="100" w:line="252" w:lineRule="auto"/>
      </w:pPr>
      <w:r>
        <w:rPr>
          <w:rFonts w:ascii="Times New Roman" w:hAnsi="Times New Roman"/>
          <w:b w:val="0"/>
          <w:i w:val="0"/>
          <w:sz w:val="21"/>
        </w:rPr>
        <w:t>Experiments on processor-control projections and communication-protocol controllers demonstrate substantial structural differences between networks obtained by direct semantic synthesis and those obtained using the evaluated conventional ABC synthesis flow.</w:t>
      </w:r>
    </w:p>
    <w:p>
      <w:pPr>
        <w:spacing w:after="100" w:line="252" w:lineRule="auto"/>
      </w:pPr>
      <w:r>
        <w:rPr>
          <w:rFonts w:ascii="Times New Roman" w:hAnsi="Times New Roman"/>
          <w:b w:val="0"/>
          <w:i w:val="0"/>
          <w:sz w:val="21"/>
        </w:rPr>
        <w:t>The differences are observed not only in gate count but also in logic depth, wire count, and fan-out. Several benchmarks additionally expose useful Pareto trade-offs between area and depth.</w:t>
      </w:r>
    </w:p>
    <w:p>
      <w:pPr>
        <w:spacing w:after="100" w:line="252" w:lineRule="auto"/>
      </w:pPr>
      <w:r>
        <w:rPr>
          <w:rFonts w:ascii="Times New Roman" w:hAnsi="Times New Roman"/>
          <w:b w:val="0"/>
          <w:i w:val="0"/>
          <w:sz w:val="21"/>
        </w:rPr>
        <w:t>For example, the verified SPI semantic controller decreases from 47 gates and 8 levels to 22 gates and 3 levels. The MDIO controller decreases from 31 gates and 7 levels to 17 gates and 4 levels, with an alternative 19-gate implementation reaching 3 levels. The USB HID example decreases from 242 gates and 20 levels to 36 gates and 6 levels, while a 42-gate alternative reaches four levels.</w:t>
      </w:r>
    </w:p>
    <w:p>
      <w:pPr>
        <w:spacing w:after="100" w:line="252" w:lineRule="auto"/>
      </w:pPr>
      <w:r>
        <w:rPr>
          <w:rFonts w:ascii="Times New Roman" w:hAnsi="Times New Roman"/>
          <w:b w:val="0"/>
          <w:i w:val="0"/>
          <w:sz w:val="21"/>
        </w:rPr>
        <w:t>These observations answer the central question of this study.</w:t>
      </w:r>
    </w:p>
    <w:p>
      <w:pPr>
        <w:spacing w:after="100" w:line="252" w:lineRule="auto"/>
      </w:pPr>
      <w:r>
        <w:rPr>
          <w:rFonts w:ascii="Times New Roman" w:hAnsi="Times New Roman"/>
          <w:b/>
          <w:i w:val="0"/>
          <w:sz w:val="21"/>
        </w:rPr>
        <w:t>Direct synthesis under care-domain compatibility can discover implementations substantially different from—and, in these experiments, often smaller and shallower than—those obtained by the evaluated conventional synthesis flow.</w:t>
      </w:r>
    </w:p>
    <w:p>
      <w:pPr>
        <w:spacing w:after="100" w:line="252" w:lineRule="auto"/>
      </w:pPr>
      <w:r>
        <w:rPr>
          <w:rFonts w:ascii="Times New Roman" w:hAnsi="Times New Roman"/>
          <w:b w:val="0"/>
          <w:i w:val="0"/>
          <w:sz w:val="21"/>
        </w:rPr>
        <w:t>We do not interpret this result as evidence that conventional synthesis is intrinsically incapable of exploiting don't-care information. Rather, it demonstrates that formulating synthesis directly in terms of semantic compatibility provides a distinct and experimentally productive implementation-search space.</w:t>
      </w:r>
    </w:p>
    <w:p>
      <w:pPr>
        <w:spacing w:after="100" w:line="252" w:lineRule="auto"/>
      </w:pPr>
      <w:r>
        <w:rPr>
          <w:rFonts w:ascii="Times New Roman" w:hAnsi="Times New Roman"/>
          <w:b w:val="0"/>
          <w:i w:val="0"/>
          <w:sz w:val="21"/>
        </w:rPr>
        <w:t>The broader implication is that semantic incompleteness need not be regarded merely as a specification detail to be preserved or resolved before synthesis.</w:t>
      </w:r>
    </w:p>
    <w:p>
      <w:pPr>
        <w:spacing w:after="100" w:line="252" w:lineRule="auto"/>
        <w:jc w:val="center"/>
      </w:pPr>
      <w:r>
        <w:rPr>
          <w:rFonts w:ascii="Times New Roman" w:hAnsi="Times New Roman"/>
          <w:b/>
          <w:i w:val="0"/>
          <w:sz w:val="21"/>
        </w:rPr>
        <w:t>Semantic incompleteness can itself be an optimization resource.</w:t>
      </w:r>
    </w:p>
    <w:sectPr w:rsidR="00FC693F" w:rsidRPr="0006063C" w:rsidSect="00034616">
      <w:footerReference w:type="default" r:id="rId9"/>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