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What Determines the Implementation Size of Partially Defined Boolean Functions?</w:t>
        <w:br/>
        <w:t>An Experimental Study with GT Synthesis</w:t>
      </w:r>
    </w:p>
    <w:p>
      <w:pPr>
        <w:jc w:val="center"/>
      </w:pPr>
      <w:r>
        <w:rPr>
          <w:b/>
        </w:rPr>
        <w:t>Paper V — Complete First Draft</w:t>
      </w:r>
    </w:p>
    <w:p>
      <w:pPr>
        <w:jc w:val="center"/>
      </w:pPr>
      <w:r>
        <w:rPr>
          <w:i/>
        </w:rPr>
        <w:t>Author information to be inserted for submission</w:t>
      </w:r>
    </w:p>
    <w:p>
      <w:pPr>
        <w:pStyle w:val="Heading1"/>
      </w:pPr>
      <w:r>
        <w:t>Abstract</w:t>
      </w:r>
    </w:p>
    <w:p>
      <w:r>
        <w:t>Partially defined Boolean functions (PDBFs) may contain hundreds or thousands of declared primary inputs while constraining circuit behavior only on a comparatively small semantic care domain. Consequently, nominal input count alone need not determine implementation size. This paper studies the relation between PDBF care structure, the number of primary inputs actually required by an implementation, and the resulting gate count and logic depth. We introduce the Minimum Care-Separating support (MCS), defined as the minimum-cardinality set of primary inputs that intersects the separator set of every pair of PLA cubes requiring opposite values on the same output. We prove that MCS is a synthesis-independent lower bound on the effective primary-input support of every valid implementation. Using GT synthesis, we evaluate exact-MCS benchmarks together with larger IPv6-oriented semantic PDBFs. In five of eight benchmarks for which exact MCS and GT implementation support are both available, GT attains MCS exactly and therefore has provably minimum effective-support cardinality. In the remaining exact cases, GT support exceeds the lower bound by a small to moderate amount. Large semantic examples show substantial support reduction: for example, a 1,408-input SRv6 policy classifier is implemented using 197 effective primary inputs, while a 946-input service-chain security policy is implemented using 120. The experiments indicate that PDBF implementation size is better understood as the interaction of care-domain separation requirements, selected effective support, and the logic needed to realize the required behavior over that support. Nominal PI count alone is therefore an inadequate measure of PDBF implementation complexity.</w:t>
      </w:r>
    </w:p>
    <w:p>
      <w:pPr>
        <w:pStyle w:val="Heading1"/>
      </w:pPr>
      <w:r>
        <w:t>1. Introduction</w:t>
      </w:r>
    </w:p>
    <w:p>
      <w:r>
        <w:t>Logic-synthesis benchmark size is often summarized by quantities such as the number of primary inputs (PI), primary outputs (PO), product terms or cubes, and the size of a synthesized network. For completely defined Boolean functions, the declared input dimension is naturally associated with the domain over which the implementation must preserve behavior. For PDBFs, however, this association can be misleading.</w:t>
      </w:r>
    </w:p>
    <w:p>
      <w:r>
        <w:t>A PDBF specifies required behavior only on a care domain. Outside that domain, behavior is unconstrained. A PLA may therefore declare hundreds or thousands of input coordinates even though only a substantially smaller subset is necessary to distinguish all care situations that require different output values. A synthesis procedure capable of exploiting this freedom may construct a valid network whose outputs depend on only a fraction of the declared inputs.</w:t>
      </w:r>
    </w:p>
    <w:p>
      <w:r>
        <w:t>This observation motivates the central question of this paper: what actually determines the implementation size of a PDBF? Our experiments suggest that the answer is not a single scalar such as PI count or cube count. Instead, implementation complexity has at least two separable components: (1) support complexity—the input variables needed to distinguish incompatible care requirements—and (2) realization complexity—the gates and depth needed to implement the required behavior once an effective support has been selected.</w:t>
      </w:r>
    </w:p>
    <w:p>
      <w:r>
        <w:t>To formalize the first component, we introduce Minimum Care-Separating support (MCS). MCS is derived directly from the PDBF specification and does not depend on a synthesis tool. We prove that every valid implementation must use at least MCS effective primary inputs. This creates a bridge between specification structure and implementation structure:</w:t>
      </w:r>
    </w:p>
    <w:p>
      <w:pPr>
        <w:spacing w:before="60" w:after="100"/>
        <w:jc w:val="center"/>
      </w:pPr>
      <w:r>
        <w:rPr>
          <w:rFonts w:ascii="Cambria Math" w:hAnsi="Cambria Math"/>
          <w:i/>
          <w:sz w:val="22"/>
        </w:rPr>
        <w:t>PDBF care structure  →  MCS(F)  ≤  PI_eff(N)  →  gates and levels.</w:t>
      </w:r>
    </w:p>
    <w:p>
      <w:r>
        <w:t>The inequality is theoretical; the relationship from effective support to gate count and depth is experimental. This distinction is important. MCS can certify support optimality when an implementation reaches the bound, but it does not by itself certify minimum gate count.</w:t>
      </w:r>
    </w:p>
    <w:p>
      <w:r>
        <w:t>The paper makes three contributions: (i) a care-separation formulation for PDBF support complexity; (ii) a proof that MCS lower-bounds the effective support of every valid implementation; and (iii) an experimental study with GT synthesis showing exact support-optimal cases and substantial support reduction on large semantic PDBFs.</w:t>
      </w:r>
    </w:p>
    <w:p>
      <w:pPr>
        <w:pStyle w:val="Heading1"/>
      </w:pPr>
      <w:r>
        <w:t>2. PDBF Model and Effective Support</w:t>
      </w:r>
    </w:p>
    <w:p>
      <w:pPr>
        <w:pStyle w:val="Heading2"/>
      </w:pPr>
      <w:r>
        <w:t>2.1 Partially defined Boolean functions</w:t>
      </w:r>
    </w:p>
    <w:p>
      <w:r>
        <w:t>Let X={x1,…,xn} be the primary inputs and Y={y1,…,ym} the primary outputs. A PDBF specifies required output values only on a care domain D⊆{0,1}^n. A circuit N is valid when it agrees with the required behavior for every care assignment; its behavior outside D is unrestricted.</w:t>
      </w:r>
    </w:p>
    <w:p>
      <w:pPr>
        <w:spacing w:before="60" w:after="100"/>
        <w:jc w:val="center"/>
      </w:pPr>
      <w:r>
        <w:rPr>
          <w:rFonts w:ascii="Cambria Math" w:hAnsi="Cambria Math"/>
          <w:i/>
          <w:sz w:val="22"/>
        </w:rPr>
        <w:t>N(x) = F(x),   for every x ∈ D.</w:t>
      </w:r>
    </w:p>
    <w:p>
      <w:r>
        <w:t>In the PLA representation used in this work, an input cube contains symbols 0, 1, and '-', where '-' denotes an unspecified input coordinate. Output positions similarly identify the required care values for the corresponding output.</w:t>
      </w:r>
    </w:p>
    <w:p>
      <w:pPr>
        <w:pStyle w:val="Heading2"/>
      </w:pPr>
      <w:r>
        <w:t>2.2 Effective primary inputs</w:t>
      </w:r>
    </w:p>
    <w:p>
      <w:r>
        <w:t>The declared PI count n is not necessarily the number of inputs used by a synthesized implementation. For an implemented output Nj, let Supp(Nj) denote the original primary inputs in its transitive support. The effective support of the complete network is</w:t>
      </w:r>
    </w:p>
    <w:p>
      <w:pPr>
        <w:spacing w:before="60" w:after="100"/>
        <w:jc w:val="center"/>
      </w:pPr>
      <w:r>
        <w:rPr>
          <w:rFonts w:ascii="Cambria Math" w:hAnsi="Cambria Math"/>
          <w:i/>
          <w:sz w:val="22"/>
        </w:rPr>
        <w:t>Supp(N) = ⋃j Supp(Nj),</w:t>
      </w:r>
    </w:p>
    <w:p>
      <w:r>
        <w:t>and the effective primary-input count is</w:t>
      </w:r>
    </w:p>
    <w:p>
      <w:pPr>
        <w:spacing w:before="60" w:after="100"/>
        <w:jc w:val="center"/>
      </w:pPr>
      <w:r>
        <w:rPr>
          <w:rFonts w:ascii="Cambria Math" w:hAnsi="Cambria Math"/>
          <w:i/>
          <w:sz w:val="22"/>
        </w:rPr>
        <w:t>PI_eff(N) = |Supp(N)|.</w:t>
      </w:r>
    </w:p>
    <w:p>
      <w:r>
        <w:t>PI_eff is an implementation property. Two valid implementations of the same PDBF may use different subsets, and therefore different numbers, of the declared primary inputs.</w:t>
      </w:r>
    </w:p>
    <w:p>
      <w:pPr>
        <w:pStyle w:val="Heading1"/>
      </w:pPr>
      <w:r>
        <w:t>3. Care Separation and Minimum Care-Separating Support</w:t>
      </w:r>
    </w:p>
    <w:p>
      <w:pPr>
        <w:pStyle w:val="Heading2"/>
      </w:pPr>
      <w:r>
        <w:t>3.1 Opposite-care cube pairs</w:t>
      </w:r>
    </w:p>
    <w:p>
      <w:r>
        <w:t>Consider two PLA cubes Ca and Cb that require opposite values for output yj. Without loss of generality, suppose Ca requires yj=0 and Cb requires yj=1. Any valid implementation of yj must distinguish every assignment represented by Ca from every assignment represented by Cb.</w:t>
      </w:r>
    </w:p>
    <w:p>
      <w:r>
        <w:t>For this pair, define the separator set Sab(j) as the set of input coordinates fixed to complementary values in the two cubes:</w:t>
      </w:r>
    </w:p>
    <w:p>
      <w:pPr>
        <w:spacing w:before="60" w:after="100"/>
        <w:jc w:val="center"/>
      </w:pPr>
      <w:r>
        <w:rPr>
          <w:rFonts w:ascii="Cambria Math" w:hAnsi="Cambria Math"/>
          <w:i/>
          <w:sz w:val="22"/>
        </w:rPr>
        <w:t>S_ab^(j) = { x_k : (x_ak,x_bk)=(0,1) or (1,0) }.</w:t>
      </w:r>
    </w:p>
    <w:p>
      <w:r>
        <w:t>Each variable in this set is capable of separating the two care regions. If the implementation ignores every variable in the set, the two cubes remain compatible after projection onto the implementation support and cannot be forced to opposite output values.</w:t>
      </w:r>
    </w:p>
    <w:p>
      <w:pPr>
        <w:pStyle w:val="Heading2"/>
      </w:pPr>
      <w:r>
        <w:t>3.2 Definition of MCS</w:t>
      </w:r>
    </w:p>
    <w:p>
      <w:r>
        <w:t>A care-separating support H⊆X is a set of primary inputs that intersects the separator set of every opposite-care cube pair for every output:</w:t>
      </w:r>
    </w:p>
    <w:p>
      <w:pPr>
        <w:spacing w:before="60" w:after="100"/>
        <w:jc w:val="center"/>
      </w:pPr>
      <w:r>
        <w:rPr>
          <w:rFonts w:ascii="Cambria Math" w:hAnsi="Cambria Math"/>
          <w:i/>
          <w:sz w:val="22"/>
        </w:rPr>
        <w:t>H ∩ S_ab^(j) ≠ ∅   for every opposite-care pair (a,b,j).</w:t>
      </w:r>
    </w:p>
    <w:p>
      <w:r>
        <w:t>The Minimum Care-Separating support is</w:t>
      </w:r>
    </w:p>
    <w:p>
      <w:pPr>
        <w:spacing w:before="60" w:after="100"/>
        <w:jc w:val="center"/>
      </w:pPr>
      <w:r>
        <w:rPr>
          <w:rFonts w:ascii="Cambria Math" w:hAnsi="Cambria Math"/>
          <w:i/>
          <w:sz w:val="22"/>
        </w:rPr>
        <w:t>MCS(F) = min |H|  subject to all care-separation constraints.</w:t>
      </w:r>
    </w:p>
    <w:p>
      <w:r>
        <w:t>Computationally, this is a minimum hitting-set problem. Exact solution can be practical for moderate separator families but becomes combinatorial for very large PDBFs. For such cases, lower and upper bounds can be used. The present paper uses exact MCS only where an exact optimum was obtained; sampled separator statistics are not mixed into the exact-MCS results.</w:t>
      </w:r>
    </w:p>
    <w:p>
      <w:pPr>
        <w:pStyle w:val="Heading1"/>
      </w:pPr>
      <w:r>
        <w:t>4. MCS Lower-Bound Theorem</w:t>
      </w:r>
    </w:p>
    <w:p>
      <w:r>
        <w:rPr>
          <w:b/>
        </w:rPr>
        <w:t xml:space="preserve">Theorem 1. </w:t>
      </w:r>
      <w:r>
        <w:t>For every valid combinational implementation N of a consistent PDBF F, MCS(F) ≤ PI_eff(N).</w:t>
      </w:r>
    </w:p>
    <w:p>
      <w:r>
        <w:rPr>
          <w:b/>
        </w:rPr>
        <w:t xml:space="preserve">Proof. </w:t>
      </w:r>
      <w:r>
        <w:t>Take an arbitrary output yj and an arbitrary pair of cubes Ca and Cb requiring opposite values on that output. Let Tj=Supp(Nj). Assume, for contradiction, that Tj∩Sab(j)=∅. Then no support coordinate contains complementary fixed values in the two cubes. Their restrictions on Tj are therefore compatible: there exists an assignment z to Tj that is consistent with both projected cubes.</w:t>
      </w:r>
    </w:p>
    <w:p>
      <w:r>
        <w:t>Choose xa∈Ca and xb∈Cb whose restrictions to Tj both equal z. Since Nj depends only on Tj, Nj(xa)=Nj(xb). But validity requires opposite output values on Ca and Cb. This is a contradiction. Hence Tj must intersect Sab(j).</w:t>
      </w:r>
    </w:p>
    <w:p>
      <w:r>
        <w:t>The argument holds for every opposite-care pair and every output. Therefore T=⋃jTj is a feasible care-separating support. Since MCS is the minimum cardinality of any feasible care-separating support,</w:t>
      </w:r>
    </w:p>
    <w:p>
      <w:pPr>
        <w:spacing w:before="60" w:after="100"/>
        <w:jc w:val="center"/>
      </w:pPr>
      <w:r>
        <w:rPr>
          <w:rFonts w:ascii="Cambria Math" w:hAnsi="Cambria Math"/>
          <w:i/>
          <w:sz w:val="22"/>
        </w:rPr>
        <w:t>MCS(F) ≤ |T| = PI_eff(N).</w:t>
      </w:r>
    </w:p>
    <w:p>
      <w:r>
        <w:t>This proves the theorem. □</w:t>
      </w:r>
    </w:p>
    <w:p>
      <w:r>
        <w:t>Corollary 1. If a valid implementation satisfies PI_eff(N)=MCS(F), then its effective-support cardinality is globally minimum among all valid implementations of F. This statement concerns support cardinality only; it does not imply minimum gate count, minimum depth, or uniqueness of the support set.</w:t>
      </w:r>
    </w:p>
    <w:p>
      <w:pPr>
        <w:pStyle w:val="Heading1"/>
      </w:pPr>
      <w:r>
        <w:t>5. Experimental Methodology</w:t>
      </w:r>
    </w:p>
    <w:p>
      <w:r>
        <w:t>The experiments use PLA PDBF benchmarks developed for the GT benchmark suite, including processor-control projections, protocol-oriented controllers, and large IPv6 semantic policy functions. GT implementations are represented as gate-level BLIF networks. Effective PI is measured by tracing the transitive support of all primary outputs back to the original primary inputs.</w:t>
      </w:r>
    </w:p>
    <w:p>
      <w:r>
        <w:t>For the exact-support experiment, only benchmarks for which an exact optimal MCS and a corresponding GT BLIF support measurement are available are included. This avoids mixing exact quantities with sampled separator estimates. Gate and level counts correspond to the selected GT implementation associated with the measured support.</w:t>
      </w:r>
    </w:p>
    <w:p>
      <w:r>
        <w:t>For large IPv6 semantic PDBFs, exact MCS is not yet available. These examples are therefore reported separately. Their purpose is to demonstrate the difference between declared PI, care-separating PI availability (CSPI), and the effective support selected by GT. CSPI counts the union of PIs that can separate at least one opposite-care pair; unlike MCS, it is not a minimum-support quantity.</w:t>
      </w:r>
    </w:p>
    <w:p>
      <w:r>
        <w:t>Benchmark PLA files are intended to be publicly available from the GT Synthesis benchmark page at www.gtsynt.com/benchmarks so that independent tools can process the same specifications. GT netlists are not required for benchmark reproduction of the input specifications.</w:t>
      </w:r>
    </w:p>
    <w:p>
      <w:pPr>
        <w:pStyle w:val="Heading1"/>
      </w:pPr>
      <w:r>
        <w:t>6. Exact-MCS Results</w:t>
      </w:r>
    </w:p>
    <w:p>
      <w:r>
        <w:t>Table 1 reports the eight benchmarks for which exact MCS and GT effective support are both available. The key comparison is between MCS, which is determined from the specification, and PI_eff, which is measured from the synthesized network.</w:t>
      </w:r>
    </w:p>
    <w:tbl>
      <w:tblPr>
        <w:tblStyle w:val="TableGrid"/>
        <w:tblW w:type="auto" w:w="0"/>
        <w:jc w:val="center"/>
        <w:tblLook w:firstColumn="1" w:firstRow="1" w:lastColumn="0" w:lastRow="0" w:noHBand="0" w:noVBand="1" w:val="04A0"/>
      </w:tblPr>
      <w:tblGrid>
        <w:gridCol w:w="1666"/>
        <w:gridCol w:w="1666"/>
        <w:gridCol w:w="1666"/>
        <w:gridCol w:w="1666"/>
        <w:gridCol w:w="1666"/>
        <w:gridCol w:w="1666"/>
      </w:tblGrid>
      <w:tr>
        <w:tc>
          <w:tcPr>
            <w:tcW w:type="dxa" w:w="3456"/>
            <w:shd w:fill="D9EAF7"/>
            <w:vAlign w:val="center"/>
          </w:tcPr>
          <w:p>
            <w:r>
              <w:rPr>
                <w:b/>
                <w:sz w:val="17"/>
              </w:rPr>
              <w:t>Benchmark</w:t>
            </w:r>
          </w:p>
        </w:tc>
        <w:tc>
          <w:tcPr>
            <w:tcW w:type="dxa" w:w="792"/>
            <w:shd w:fill="D9EAF7"/>
            <w:vAlign w:val="center"/>
          </w:tcPr>
          <w:p>
            <w:r>
              <w:rPr>
                <w:b/>
                <w:sz w:val="17"/>
              </w:rPr>
              <w:t>PI</w:t>
            </w:r>
          </w:p>
        </w:tc>
        <w:tc>
          <w:tcPr>
            <w:tcW w:type="dxa" w:w="1080"/>
            <w:shd w:fill="D9EAF7"/>
            <w:vAlign w:val="center"/>
          </w:tcPr>
          <w:p>
            <w:r>
              <w:rPr>
                <w:b/>
                <w:sz w:val="17"/>
              </w:rPr>
              <w:t>Exact MCS</w:t>
            </w:r>
          </w:p>
        </w:tc>
        <w:tc>
          <w:tcPr>
            <w:tcW w:type="dxa" w:w="1080"/>
            <w:shd w:fill="D9EAF7"/>
            <w:vAlign w:val="center"/>
          </w:tcPr>
          <w:p>
            <w:r>
              <w:rPr>
                <w:b/>
                <w:sz w:val="17"/>
              </w:rPr>
              <w:t>GT PI_eff</w:t>
            </w:r>
          </w:p>
        </w:tc>
        <w:tc>
          <w:tcPr>
            <w:tcW w:type="dxa" w:w="1008"/>
            <w:shd w:fill="D9EAF7"/>
            <w:vAlign w:val="center"/>
          </w:tcPr>
          <w:p>
            <w:r>
              <w:rPr>
                <w:b/>
                <w:sz w:val="17"/>
              </w:rPr>
              <w:t>GT Gates</w:t>
            </w:r>
          </w:p>
        </w:tc>
        <w:tc>
          <w:tcPr>
            <w:tcW w:type="dxa" w:w="864"/>
            <w:shd w:fill="D9EAF7"/>
            <w:vAlign w:val="center"/>
          </w:tcPr>
          <w:p>
            <w:r>
              <w:rPr>
                <w:b/>
                <w:sz w:val="17"/>
              </w:rPr>
              <w:t>Levels</w:t>
            </w:r>
          </w:p>
        </w:tc>
      </w:tr>
      <w:tr>
        <w:tc>
          <w:tcPr>
            <w:tcW w:type="dxa" w:w="3456"/>
            <w:vAlign w:val="center"/>
          </w:tcPr>
          <w:p>
            <w:pPr>
              <w:spacing w:after="0"/>
            </w:pPr>
            <w:r>
              <w:rPr>
                <w:sz w:val="16"/>
              </w:rPr>
              <w:t>CV32E40P baseline</w:t>
            </w:r>
          </w:p>
        </w:tc>
        <w:tc>
          <w:tcPr>
            <w:tcW w:type="dxa" w:w="792"/>
            <w:vAlign w:val="center"/>
          </w:tcPr>
          <w:p>
            <w:pPr>
              <w:spacing w:after="0"/>
            </w:pPr>
            <w:r>
              <w:rPr>
                <w:sz w:val="16"/>
              </w:rPr>
              <w:t>32</w:t>
            </w:r>
          </w:p>
        </w:tc>
        <w:tc>
          <w:tcPr>
            <w:tcW w:type="dxa" w:w="1080"/>
            <w:vAlign w:val="center"/>
          </w:tcPr>
          <w:p>
            <w:pPr>
              <w:spacing w:after="0"/>
            </w:pPr>
            <w:r>
              <w:rPr>
                <w:sz w:val="16"/>
              </w:rPr>
              <w:t>6</w:t>
            </w:r>
          </w:p>
        </w:tc>
        <w:tc>
          <w:tcPr>
            <w:tcW w:type="dxa" w:w="1080"/>
            <w:vAlign w:val="center"/>
          </w:tcPr>
          <w:p>
            <w:pPr>
              <w:spacing w:after="0"/>
            </w:pPr>
            <w:r>
              <w:rPr>
                <w:sz w:val="16"/>
              </w:rPr>
              <w:t>6</w:t>
            </w:r>
          </w:p>
        </w:tc>
        <w:tc>
          <w:tcPr>
            <w:tcW w:type="dxa" w:w="1008"/>
            <w:vAlign w:val="center"/>
          </w:tcPr>
          <w:p>
            <w:pPr>
              <w:spacing w:after="0"/>
            </w:pPr>
            <w:r>
              <w:rPr>
                <w:sz w:val="16"/>
              </w:rPr>
              <w:t>16</w:t>
            </w:r>
          </w:p>
        </w:tc>
        <w:tc>
          <w:tcPr>
            <w:tcW w:type="dxa" w:w="864"/>
            <w:vAlign w:val="center"/>
          </w:tcPr>
          <w:p>
            <w:pPr>
              <w:spacing w:after="0"/>
            </w:pPr>
            <w:r>
              <w:rPr>
                <w:sz w:val="16"/>
              </w:rPr>
              <w:t>3</w:t>
            </w:r>
          </w:p>
        </w:tc>
      </w:tr>
      <w:tr>
        <w:tc>
          <w:tcPr>
            <w:tcW w:type="dxa" w:w="3456"/>
            <w:vAlign w:val="center"/>
          </w:tcPr>
          <w:p>
            <w:pPr>
              <w:spacing w:after="0"/>
            </w:pPr>
            <w:r>
              <w:rPr>
                <w:sz w:val="16"/>
              </w:rPr>
              <w:t>CV32E40P actual</w:t>
            </w:r>
          </w:p>
        </w:tc>
        <w:tc>
          <w:tcPr>
            <w:tcW w:type="dxa" w:w="792"/>
            <w:vAlign w:val="center"/>
          </w:tcPr>
          <w:p>
            <w:pPr>
              <w:spacing w:after="0"/>
            </w:pPr>
            <w:r>
              <w:rPr>
                <w:sz w:val="16"/>
              </w:rPr>
              <w:t>32</w:t>
            </w:r>
          </w:p>
        </w:tc>
        <w:tc>
          <w:tcPr>
            <w:tcW w:type="dxa" w:w="1080"/>
            <w:vAlign w:val="center"/>
          </w:tcPr>
          <w:p>
            <w:pPr>
              <w:spacing w:after="0"/>
            </w:pPr>
            <w:r>
              <w:rPr>
                <w:sz w:val="16"/>
              </w:rPr>
              <w:t>11</w:t>
            </w:r>
          </w:p>
        </w:tc>
        <w:tc>
          <w:tcPr>
            <w:tcW w:type="dxa" w:w="1080"/>
            <w:vAlign w:val="center"/>
          </w:tcPr>
          <w:p>
            <w:pPr>
              <w:spacing w:after="0"/>
            </w:pPr>
            <w:r>
              <w:rPr>
                <w:sz w:val="16"/>
              </w:rPr>
              <w:t>14</w:t>
            </w:r>
          </w:p>
        </w:tc>
        <w:tc>
          <w:tcPr>
            <w:tcW w:type="dxa" w:w="1008"/>
            <w:vAlign w:val="center"/>
          </w:tcPr>
          <w:p>
            <w:pPr>
              <w:spacing w:after="0"/>
            </w:pPr>
            <w:r>
              <w:rPr>
                <w:sz w:val="16"/>
              </w:rPr>
              <w:t>43</w:t>
            </w:r>
          </w:p>
        </w:tc>
        <w:tc>
          <w:tcPr>
            <w:tcW w:type="dxa" w:w="864"/>
            <w:vAlign w:val="center"/>
          </w:tcPr>
          <w:p>
            <w:pPr>
              <w:spacing w:after="0"/>
            </w:pPr>
            <w:r>
              <w:rPr>
                <w:sz w:val="16"/>
              </w:rPr>
              <w:t>6</w:t>
            </w:r>
          </w:p>
        </w:tc>
      </w:tr>
      <w:tr>
        <w:tc>
          <w:tcPr>
            <w:tcW w:type="dxa" w:w="3456"/>
            <w:vAlign w:val="center"/>
          </w:tcPr>
          <w:p>
            <w:pPr>
              <w:spacing w:after="0"/>
            </w:pPr>
            <w:r>
              <w:rPr>
                <w:sz w:val="16"/>
              </w:rPr>
              <w:t>Ibex RV32IM</w:t>
            </w:r>
          </w:p>
        </w:tc>
        <w:tc>
          <w:tcPr>
            <w:tcW w:type="dxa" w:w="792"/>
            <w:vAlign w:val="center"/>
          </w:tcPr>
          <w:p>
            <w:pPr>
              <w:spacing w:after="0"/>
            </w:pPr>
            <w:r>
              <w:rPr>
                <w:sz w:val="16"/>
              </w:rPr>
              <w:t>32</w:t>
            </w:r>
          </w:p>
        </w:tc>
        <w:tc>
          <w:tcPr>
            <w:tcW w:type="dxa" w:w="1080"/>
            <w:vAlign w:val="center"/>
          </w:tcPr>
          <w:p>
            <w:pPr>
              <w:spacing w:after="0"/>
            </w:pPr>
            <w:r>
              <w:rPr>
                <w:sz w:val="16"/>
              </w:rPr>
              <w:t>11</w:t>
            </w:r>
          </w:p>
        </w:tc>
        <w:tc>
          <w:tcPr>
            <w:tcW w:type="dxa" w:w="1080"/>
            <w:vAlign w:val="center"/>
          </w:tcPr>
          <w:p>
            <w:pPr>
              <w:spacing w:after="0"/>
            </w:pPr>
            <w:r>
              <w:rPr>
                <w:sz w:val="16"/>
              </w:rPr>
              <w:t>14</w:t>
            </w:r>
          </w:p>
        </w:tc>
        <w:tc>
          <w:tcPr>
            <w:tcW w:type="dxa" w:w="1008"/>
            <w:vAlign w:val="center"/>
          </w:tcPr>
          <w:p>
            <w:pPr>
              <w:spacing w:after="0"/>
            </w:pPr>
            <w:r>
              <w:rPr>
                <w:sz w:val="16"/>
              </w:rPr>
              <w:t>41</w:t>
            </w:r>
          </w:p>
        </w:tc>
        <w:tc>
          <w:tcPr>
            <w:tcW w:type="dxa" w:w="864"/>
            <w:vAlign w:val="center"/>
          </w:tcPr>
          <w:p>
            <w:pPr>
              <w:spacing w:after="0"/>
            </w:pPr>
            <w:r>
              <w:rPr>
                <w:sz w:val="16"/>
              </w:rPr>
              <w:t>5</w:t>
            </w:r>
          </w:p>
        </w:tc>
      </w:tr>
      <w:tr>
        <w:tc>
          <w:tcPr>
            <w:tcW w:type="dxa" w:w="3456"/>
            <w:vAlign w:val="center"/>
          </w:tcPr>
          <w:p>
            <w:pPr>
              <w:spacing w:after="0"/>
            </w:pPr>
            <w:r>
              <w:rPr>
                <w:sz w:val="16"/>
              </w:rPr>
              <w:t>VexRiscv</w:t>
            </w:r>
          </w:p>
        </w:tc>
        <w:tc>
          <w:tcPr>
            <w:tcW w:type="dxa" w:w="792"/>
            <w:vAlign w:val="center"/>
          </w:tcPr>
          <w:p>
            <w:pPr>
              <w:spacing w:after="0"/>
            </w:pPr>
            <w:r>
              <w:rPr>
                <w:sz w:val="16"/>
              </w:rPr>
              <w:t>32</w:t>
            </w:r>
          </w:p>
        </w:tc>
        <w:tc>
          <w:tcPr>
            <w:tcW w:type="dxa" w:w="1080"/>
            <w:vAlign w:val="center"/>
          </w:tcPr>
          <w:p>
            <w:pPr>
              <w:spacing w:after="0"/>
            </w:pPr>
            <w:r>
              <w:rPr>
                <w:sz w:val="16"/>
              </w:rPr>
              <w:t>7</w:t>
            </w:r>
          </w:p>
        </w:tc>
        <w:tc>
          <w:tcPr>
            <w:tcW w:type="dxa" w:w="1080"/>
            <w:vAlign w:val="center"/>
          </w:tcPr>
          <w:p>
            <w:pPr>
              <w:spacing w:after="0"/>
            </w:pPr>
            <w:r>
              <w:rPr>
                <w:sz w:val="16"/>
              </w:rPr>
              <w:t>7</w:t>
            </w:r>
          </w:p>
        </w:tc>
        <w:tc>
          <w:tcPr>
            <w:tcW w:type="dxa" w:w="1008"/>
            <w:vAlign w:val="center"/>
          </w:tcPr>
          <w:p>
            <w:pPr>
              <w:spacing w:after="0"/>
            </w:pPr>
            <w:r>
              <w:rPr>
                <w:sz w:val="16"/>
              </w:rPr>
              <w:t>18</w:t>
            </w:r>
          </w:p>
        </w:tc>
        <w:tc>
          <w:tcPr>
            <w:tcW w:type="dxa" w:w="864"/>
            <w:vAlign w:val="center"/>
          </w:tcPr>
          <w:p>
            <w:pPr>
              <w:spacing w:after="0"/>
            </w:pPr>
            <w:r>
              <w:rPr>
                <w:sz w:val="16"/>
              </w:rPr>
              <w:t>4</w:t>
            </w:r>
          </w:p>
        </w:tc>
      </w:tr>
      <w:tr>
        <w:tc>
          <w:tcPr>
            <w:tcW w:type="dxa" w:w="3456"/>
            <w:vAlign w:val="center"/>
          </w:tcPr>
          <w:p>
            <w:pPr>
              <w:spacing w:after="0"/>
            </w:pPr>
            <w:r>
              <w:rPr>
                <w:sz w:val="16"/>
              </w:rPr>
              <w:t>I²C controller</w:t>
            </w:r>
          </w:p>
        </w:tc>
        <w:tc>
          <w:tcPr>
            <w:tcW w:type="dxa" w:w="792"/>
            <w:vAlign w:val="center"/>
          </w:tcPr>
          <w:p>
            <w:pPr>
              <w:spacing w:after="0"/>
            </w:pPr>
            <w:r>
              <w:rPr>
                <w:sz w:val="16"/>
              </w:rPr>
              <w:t>10</w:t>
            </w:r>
          </w:p>
        </w:tc>
        <w:tc>
          <w:tcPr>
            <w:tcW w:type="dxa" w:w="1080"/>
            <w:vAlign w:val="center"/>
          </w:tcPr>
          <w:p>
            <w:pPr>
              <w:spacing w:after="0"/>
            </w:pPr>
            <w:r>
              <w:rPr>
                <w:sz w:val="16"/>
              </w:rPr>
              <w:t>5</w:t>
            </w:r>
          </w:p>
        </w:tc>
        <w:tc>
          <w:tcPr>
            <w:tcW w:type="dxa" w:w="1080"/>
            <w:vAlign w:val="center"/>
          </w:tcPr>
          <w:p>
            <w:pPr>
              <w:spacing w:after="0"/>
            </w:pPr>
            <w:r>
              <w:rPr>
                <w:sz w:val="16"/>
              </w:rPr>
              <w:t>5</w:t>
            </w:r>
          </w:p>
        </w:tc>
        <w:tc>
          <w:tcPr>
            <w:tcW w:type="dxa" w:w="1008"/>
            <w:vAlign w:val="center"/>
          </w:tcPr>
          <w:p>
            <w:pPr>
              <w:spacing w:after="0"/>
            </w:pPr>
            <w:r>
              <w:rPr>
                <w:sz w:val="16"/>
              </w:rPr>
              <w:t>24</w:t>
            </w:r>
          </w:p>
        </w:tc>
        <w:tc>
          <w:tcPr>
            <w:tcW w:type="dxa" w:w="864"/>
            <w:vAlign w:val="center"/>
          </w:tcPr>
          <w:p>
            <w:pPr>
              <w:spacing w:after="0"/>
            </w:pPr>
            <w:r>
              <w:rPr>
                <w:sz w:val="16"/>
              </w:rPr>
              <w:t>5</w:t>
            </w:r>
          </w:p>
        </w:tc>
      </w:tr>
      <w:tr>
        <w:tc>
          <w:tcPr>
            <w:tcW w:type="dxa" w:w="3456"/>
            <w:vAlign w:val="center"/>
          </w:tcPr>
          <w:p>
            <w:pPr>
              <w:spacing w:after="0"/>
            </w:pPr>
            <w:r>
              <w:rPr>
                <w:sz w:val="16"/>
              </w:rPr>
              <w:t>MDIO controller</w:t>
            </w:r>
          </w:p>
        </w:tc>
        <w:tc>
          <w:tcPr>
            <w:tcW w:type="dxa" w:w="792"/>
            <w:vAlign w:val="center"/>
          </w:tcPr>
          <w:p>
            <w:pPr>
              <w:spacing w:after="0"/>
            </w:pPr>
            <w:r>
              <w:rPr>
                <w:sz w:val="16"/>
              </w:rPr>
              <w:t>12</w:t>
            </w:r>
          </w:p>
        </w:tc>
        <w:tc>
          <w:tcPr>
            <w:tcW w:type="dxa" w:w="1080"/>
            <w:vAlign w:val="center"/>
          </w:tcPr>
          <w:p>
            <w:pPr>
              <w:spacing w:after="0"/>
            </w:pPr>
            <w:r>
              <w:rPr>
                <w:sz w:val="16"/>
              </w:rPr>
              <w:t>5</w:t>
            </w:r>
          </w:p>
        </w:tc>
        <w:tc>
          <w:tcPr>
            <w:tcW w:type="dxa" w:w="1080"/>
            <w:vAlign w:val="center"/>
          </w:tcPr>
          <w:p>
            <w:pPr>
              <w:spacing w:after="0"/>
            </w:pPr>
            <w:r>
              <w:rPr>
                <w:sz w:val="16"/>
              </w:rPr>
              <w:t>5</w:t>
            </w:r>
          </w:p>
        </w:tc>
        <w:tc>
          <w:tcPr>
            <w:tcW w:type="dxa" w:w="1008"/>
            <w:vAlign w:val="center"/>
          </w:tcPr>
          <w:p>
            <w:pPr>
              <w:spacing w:after="0"/>
            </w:pPr>
            <w:r>
              <w:rPr>
                <w:sz w:val="16"/>
              </w:rPr>
              <w:t>17</w:t>
            </w:r>
          </w:p>
        </w:tc>
        <w:tc>
          <w:tcPr>
            <w:tcW w:type="dxa" w:w="864"/>
            <w:vAlign w:val="center"/>
          </w:tcPr>
          <w:p>
            <w:pPr>
              <w:spacing w:after="0"/>
            </w:pPr>
            <w:r>
              <w:rPr>
                <w:sz w:val="16"/>
              </w:rPr>
              <w:t>3</w:t>
            </w:r>
          </w:p>
        </w:tc>
      </w:tr>
      <w:tr>
        <w:tc>
          <w:tcPr>
            <w:tcW w:type="dxa" w:w="3456"/>
            <w:vAlign w:val="center"/>
          </w:tcPr>
          <w:p>
            <w:pPr>
              <w:spacing w:after="0"/>
            </w:pPr>
            <w:r>
              <w:rPr>
                <w:sz w:val="16"/>
              </w:rPr>
              <w:t>SPI controller</w:t>
            </w:r>
          </w:p>
        </w:tc>
        <w:tc>
          <w:tcPr>
            <w:tcW w:type="dxa" w:w="792"/>
            <w:vAlign w:val="center"/>
          </w:tcPr>
          <w:p>
            <w:pPr>
              <w:spacing w:after="0"/>
            </w:pPr>
            <w:r>
              <w:rPr>
                <w:sz w:val="16"/>
              </w:rPr>
              <w:t>9</w:t>
            </w:r>
          </w:p>
        </w:tc>
        <w:tc>
          <w:tcPr>
            <w:tcW w:type="dxa" w:w="1080"/>
            <w:vAlign w:val="center"/>
          </w:tcPr>
          <w:p>
            <w:pPr>
              <w:spacing w:after="0"/>
            </w:pPr>
            <w:r>
              <w:rPr>
                <w:sz w:val="16"/>
              </w:rPr>
              <w:t>6</w:t>
            </w:r>
          </w:p>
        </w:tc>
        <w:tc>
          <w:tcPr>
            <w:tcW w:type="dxa" w:w="1080"/>
            <w:vAlign w:val="center"/>
          </w:tcPr>
          <w:p>
            <w:pPr>
              <w:spacing w:after="0"/>
            </w:pPr>
            <w:r>
              <w:rPr>
                <w:sz w:val="16"/>
              </w:rPr>
              <w:t>6</w:t>
            </w:r>
          </w:p>
        </w:tc>
        <w:tc>
          <w:tcPr>
            <w:tcW w:type="dxa" w:w="1008"/>
            <w:vAlign w:val="center"/>
          </w:tcPr>
          <w:p>
            <w:pPr>
              <w:spacing w:after="0"/>
            </w:pPr>
            <w:r>
              <w:rPr>
                <w:sz w:val="16"/>
              </w:rPr>
              <w:t>21</w:t>
            </w:r>
          </w:p>
        </w:tc>
        <w:tc>
          <w:tcPr>
            <w:tcW w:type="dxa" w:w="864"/>
            <w:vAlign w:val="center"/>
          </w:tcPr>
          <w:p>
            <w:pPr>
              <w:spacing w:after="0"/>
            </w:pPr>
            <w:r>
              <w:rPr>
                <w:sz w:val="16"/>
              </w:rPr>
              <w:t>3</w:t>
            </w:r>
          </w:p>
        </w:tc>
      </w:tr>
      <w:tr>
        <w:tc>
          <w:tcPr>
            <w:tcW w:type="dxa" w:w="3456"/>
            <w:vAlign w:val="center"/>
          </w:tcPr>
          <w:p>
            <w:pPr>
              <w:spacing w:after="0"/>
            </w:pPr>
            <w:r>
              <w:rPr>
                <w:sz w:val="16"/>
              </w:rPr>
              <w:t>USB HID controller</w:t>
            </w:r>
          </w:p>
        </w:tc>
        <w:tc>
          <w:tcPr>
            <w:tcW w:type="dxa" w:w="792"/>
            <w:vAlign w:val="center"/>
          </w:tcPr>
          <w:p>
            <w:pPr>
              <w:spacing w:after="0"/>
            </w:pPr>
            <w:r>
              <w:rPr>
                <w:sz w:val="16"/>
              </w:rPr>
              <w:t>64</w:t>
            </w:r>
          </w:p>
        </w:tc>
        <w:tc>
          <w:tcPr>
            <w:tcW w:type="dxa" w:w="1080"/>
            <w:vAlign w:val="center"/>
          </w:tcPr>
          <w:p>
            <w:pPr>
              <w:spacing w:after="0"/>
            </w:pPr>
            <w:r>
              <w:rPr>
                <w:sz w:val="16"/>
              </w:rPr>
              <w:t>9</w:t>
            </w:r>
          </w:p>
        </w:tc>
        <w:tc>
          <w:tcPr>
            <w:tcW w:type="dxa" w:w="1080"/>
            <w:vAlign w:val="center"/>
          </w:tcPr>
          <w:p>
            <w:pPr>
              <w:spacing w:after="0"/>
            </w:pPr>
            <w:r>
              <w:rPr>
                <w:sz w:val="16"/>
              </w:rPr>
              <w:t>18</w:t>
            </w:r>
          </w:p>
        </w:tc>
        <w:tc>
          <w:tcPr>
            <w:tcW w:type="dxa" w:w="1008"/>
            <w:vAlign w:val="center"/>
          </w:tcPr>
          <w:p>
            <w:pPr>
              <w:spacing w:after="0"/>
            </w:pPr>
            <w:r>
              <w:rPr>
                <w:sz w:val="16"/>
              </w:rPr>
              <w:t>36</w:t>
            </w:r>
          </w:p>
        </w:tc>
        <w:tc>
          <w:tcPr>
            <w:tcW w:type="dxa" w:w="864"/>
            <w:vAlign w:val="center"/>
          </w:tcPr>
          <w:p>
            <w:pPr>
              <w:spacing w:after="0"/>
            </w:pPr>
            <w:r>
              <w:rPr>
                <w:sz w:val="16"/>
              </w:rPr>
              <w:t>6</w:t>
            </w:r>
          </w:p>
        </w:tc>
      </w:tr>
    </w:tbl>
    <w:p>
      <w:pPr>
        <w:spacing w:after="20"/>
      </w:pPr>
    </w:p>
    <w:p>
      <w:pPr>
        <w:jc w:val="center"/>
      </w:pPr>
      <w:r>
        <w:rPr>
          <w:i/>
        </w:rPr>
        <w:t>Table 1. Exact MCS and GT effective support.</w:t>
      </w:r>
    </w:p>
    <w:p>
      <w:r>
        <w:t>In all eight cases, the measured implementation satisfies the theoretical inequality MCS≤PI_eff. More importantly, five cases attain equality: CV32E40P baseline, VexRiscv, I²C, MDIO, and SPI. For these five implementations, Theorem 1 and Corollary 1 establish that GT achieved provably minimum effective-support cardinality.</w:t>
      </w:r>
    </w:p>
    <w:p>
      <w:r>
        <w:t>The three remaining cases use additional support. CV32E40P actual and Ibex each have MCS=11 and PI_eff=14, corresponding to a support ratio PI_eff/MCS of approximately 1.27. USB HID has MCS=9 and PI_eff=18, giving a ratio of 2.0.</w:t>
      </w:r>
    </w:p>
    <w:p>
      <w:r>
        <w:t>Across the eight exact cases, the median support ratio is 1.0 and the mean is approximately 1.19. MCS and PI_eff show strong association in this small sample (Pearson r≈0.873; Spearman ρ≈0.926). These correlations are descriptive rather than universal claims, but they are consistent with MCS capturing an important part of implementation support complexity.</w:t>
      </w:r>
    </w:p>
    <w:p>
      <w:pPr>
        <w:pStyle w:val="Heading1"/>
      </w:pPr>
      <w:r>
        <w:t>7. Support Complexity Does Not Fully Determine Gate Count</w:t>
      </w:r>
    </w:p>
    <w:p>
      <w:r>
        <w:t>Reaching minimum support does not imply reaching minimum gate count. Even among the support-optimal cases, the amount of logic per effective input varies. Across the eight exact cases, the observed gate density G/PI_eff ranges from 2.0 to 4.8, with a median of 3.0.</w:t>
      </w:r>
    </w:p>
    <w:p>
      <w:r>
        <w:t>This motivates a two-stage interpretation of PDBF implementation complexity. First, the care structure constrains which and how many primary inputs must survive in any implementation. Second, after a support is selected, the Boolean relationships that must be realized over that support determine the required logic structure.</w:t>
      </w:r>
    </w:p>
    <w:p>
      <w:pPr>
        <w:spacing w:before="60" w:after="100"/>
        <w:jc w:val="center"/>
      </w:pPr>
      <w:r>
        <w:rPr>
          <w:rFonts w:ascii="Cambria Math" w:hAnsi="Cambria Math"/>
          <w:i/>
          <w:sz w:val="22"/>
        </w:rPr>
        <w:t>implementation complexity ≈ support complexity + realization complexity.</w:t>
      </w:r>
    </w:p>
    <w:p>
      <w:r>
        <w:t>The expression is conceptual rather than an additive cost equation. It emphasizes that two PDBFs with the same MCS or PI_eff can still require different numbers of gates and different depths.</w:t>
      </w:r>
    </w:p>
    <w:p>
      <w:r>
        <w:t>In the exact sample, PI_eff and gate count have Pearson r≈0.875, while the Spearman rank association is more moderate (ρ≈0.643). MCS itself has Pearson r≈0.920 with gate count in this small sample. These values support further study but are not sufficient to claim that either MCS or PI_eff uniquely predicts area.</w:t>
      </w:r>
    </w:p>
    <w:p>
      <w:pPr>
        <w:pStyle w:val="Heading1"/>
      </w:pPr>
      <w:r>
        <w:t>8. Large IPv6 Semantic PDBFs</w:t>
      </w:r>
    </w:p>
    <w:p>
      <w:r>
        <w:t>The distinction between nominal and effective input dimension becomes particularly visible on the large IPv6-oriented semantic PDBFs. Table 2 lists the large cases for which a GT effective-support measurement is currently available.</w:t>
      </w:r>
    </w:p>
    <w:tbl>
      <w:tblPr>
        <w:tblStyle w:val="TableGrid"/>
        <w:tblW w:type="auto" w:w="0"/>
        <w:jc w:val="center"/>
        <w:tblLook w:firstColumn="1" w:firstRow="1" w:lastColumn="0" w:lastRow="0" w:noHBand="0" w:noVBand="1" w:val="04A0"/>
      </w:tblPr>
      <w:tblGrid>
        <w:gridCol w:w="1666"/>
        <w:gridCol w:w="1666"/>
        <w:gridCol w:w="1666"/>
        <w:gridCol w:w="1666"/>
        <w:gridCol w:w="1666"/>
        <w:gridCol w:w="1666"/>
      </w:tblGrid>
      <w:tr>
        <w:tc>
          <w:tcPr>
            <w:tcW w:type="dxa" w:w="3240"/>
            <w:shd w:fill="D9EAF7"/>
            <w:vAlign w:val="center"/>
          </w:tcPr>
          <w:p>
            <w:r>
              <w:rPr>
                <w:b/>
                <w:sz w:val="17"/>
              </w:rPr>
              <w:t>Benchmark</w:t>
            </w:r>
          </w:p>
        </w:tc>
        <w:tc>
          <w:tcPr>
            <w:tcW w:type="dxa" w:w="792"/>
            <w:shd w:fill="D9EAF7"/>
            <w:vAlign w:val="center"/>
          </w:tcPr>
          <w:p>
            <w:r>
              <w:rPr>
                <w:b/>
                <w:sz w:val="17"/>
              </w:rPr>
              <w:t>PI</w:t>
            </w:r>
          </w:p>
        </w:tc>
        <w:tc>
          <w:tcPr>
            <w:tcW w:type="dxa" w:w="864"/>
            <w:shd w:fill="D9EAF7"/>
            <w:vAlign w:val="center"/>
          </w:tcPr>
          <w:p>
            <w:r>
              <w:rPr>
                <w:b/>
                <w:sz w:val="17"/>
              </w:rPr>
              <w:t>CSPI</w:t>
            </w:r>
          </w:p>
        </w:tc>
        <w:tc>
          <w:tcPr>
            <w:tcW w:type="dxa" w:w="1080"/>
            <w:shd w:fill="D9EAF7"/>
            <w:vAlign w:val="center"/>
          </w:tcPr>
          <w:p>
            <w:r>
              <w:rPr>
                <w:b/>
                <w:sz w:val="17"/>
              </w:rPr>
              <w:t>GT PI_eff</w:t>
            </w:r>
          </w:p>
        </w:tc>
        <w:tc>
          <w:tcPr>
            <w:tcW w:type="dxa" w:w="1080"/>
            <w:shd w:fill="D9EAF7"/>
            <w:vAlign w:val="center"/>
          </w:tcPr>
          <w:p>
            <w:r>
              <w:rPr>
                <w:b/>
                <w:sz w:val="17"/>
              </w:rPr>
              <w:t>GT Gates</w:t>
            </w:r>
          </w:p>
        </w:tc>
        <w:tc>
          <w:tcPr>
            <w:tcW w:type="dxa" w:w="864"/>
            <w:shd w:fill="D9EAF7"/>
            <w:vAlign w:val="center"/>
          </w:tcPr>
          <w:p>
            <w:r>
              <w:rPr>
                <w:b/>
                <w:sz w:val="17"/>
              </w:rPr>
              <w:t>Levels</w:t>
            </w:r>
          </w:p>
        </w:tc>
      </w:tr>
      <w:tr>
        <w:tc>
          <w:tcPr>
            <w:tcW w:type="dxa" w:w="3240"/>
            <w:vAlign w:val="center"/>
          </w:tcPr>
          <w:p>
            <w:pPr>
              <w:spacing w:after="0"/>
            </w:pPr>
            <w:r>
              <w:rPr>
                <w:sz w:val="16"/>
              </w:rPr>
              <w:t>IPv6 Firewall</w:t>
            </w:r>
          </w:p>
        </w:tc>
        <w:tc>
          <w:tcPr>
            <w:tcW w:type="dxa" w:w="792"/>
            <w:vAlign w:val="center"/>
          </w:tcPr>
          <w:p>
            <w:pPr>
              <w:spacing w:after="0"/>
            </w:pPr>
            <w:r>
              <w:rPr>
                <w:sz w:val="16"/>
              </w:rPr>
              <w:t>806</w:t>
            </w:r>
          </w:p>
        </w:tc>
        <w:tc>
          <w:tcPr>
            <w:tcW w:type="dxa" w:w="864"/>
            <w:vAlign w:val="center"/>
          </w:tcPr>
          <w:p>
            <w:pPr>
              <w:spacing w:after="0"/>
            </w:pPr>
            <w:r>
              <w:rPr>
                <w:sz w:val="16"/>
              </w:rPr>
              <w:t>121</w:t>
            </w:r>
          </w:p>
        </w:tc>
        <w:tc>
          <w:tcPr>
            <w:tcW w:type="dxa" w:w="1080"/>
            <w:vAlign w:val="center"/>
          </w:tcPr>
          <w:p>
            <w:pPr>
              <w:spacing w:after="0"/>
            </w:pPr>
            <w:r>
              <w:rPr>
                <w:sz w:val="16"/>
              </w:rPr>
              <w:t>41</w:t>
            </w:r>
          </w:p>
        </w:tc>
        <w:tc>
          <w:tcPr>
            <w:tcW w:type="dxa" w:w="1080"/>
            <w:vAlign w:val="center"/>
          </w:tcPr>
          <w:p>
            <w:pPr>
              <w:spacing w:after="0"/>
            </w:pPr>
            <w:r>
              <w:rPr>
                <w:sz w:val="16"/>
              </w:rPr>
              <w:t>4147</w:t>
            </w:r>
          </w:p>
        </w:tc>
        <w:tc>
          <w:tcPr>
            <w:tcW w:type="dxa" w:w="864"/>
            <w:vAlign w:val="center"/>
          </w:tcPr>
          <w:p>
            <w:pPr>
              <w:spacing w:after="0"/>
            </w:pPr>
            <w:r>
              <w:rPr>
                <w:sz w:val="16"/>
              </w:rPr>
              <w:t>223</w:t>
            </w:r>
          </w:p>
        </w:tc>
      </w:tr>
      <w:tr>
        <w:tc>
          <w:tcPr>
            <w:tcW w:type="dxa" w:w="3240"/>
            <w:vAlign w:val="center"/>
          </w:tcPr>
          <w:p>
            <w:pPr>
              <w:spacing w:after="0"/>
            </w:pPr>
            <w:r>
              <w:rPr>
                <w:sz w:val="16"/>
              </w:rPr>
              <w:t>IPv6 IPsec SA</w:t>
            </w:r>
          </w:p>
        </w:tc>
        <w:tc>
          <w:tcPr>
            <w:tcW w:type="dxa" w:w="792"/>
            <w:vAlign w:val="center"/>
          </w:tcPr>
          <w:p>
            <w:pPr>
              <w:spacing w:after="0"/>
            </w:pPr>
            <w:r>
              <w:rPr>
                <w:sz w:val="16"/>
              </w:rPr>
              <w:t>1280</w:t>
            </w:r>
          </w:p>
        </w:tc>
        <w:tc>
          <w:tcPr>
            <w:tcW w:type="dxa" w:w="864"/>
            <w:vAlign w:val="center"/>
          </w:tcPr>
          <w:p>
            <w:pPr>
              <w:spacing w:after="0"/>
            </w:pPr>
            <w:r>
              <w:rPr>
                <w:sz w:val="16"/>
              </w:rPr>
              <w:t>398</w:t>
            </w:r>
          </w:p>
        </w:tc>
        <w:tc>
          <w:tcPr>
            <w:tcW w:type="dxa" w:w="1080"/>
            <w:vAlign w:val="center"/>
          </w:tcPr>
          <w:p>
            <w:pPr>
              <w:spacing w:after="0"/>
            </w:pPr>
            <w:r>
              <w:rPr>
                <w:sz w:val="16"/>
              </w:rPr>
              <w:t>168</w:t>
            </w:r>
          </w:p>
        </w:tc>
        <w:tc>
          <w:tcPr>
            <w:tcW w:type="dxa" w:w="1080"/>
            <w:vAlign w:val="center"/>
          </w:tcPr>
          <w:p>
            <w:pPr>
              <w:spacing w:after="0"/>
            </w:pPr>
            <w:r>
              <w:rPr>
                <w:sz w:val="16"/>
              </w:rPr>
              <w:t>3488</w:t>
            </w:r>
          </w:p>
        </w:tc>
        <w:tc>
          <w:tcPr>
            <w:tcW w:type="dxa" w:w="864"/>
            <w:vAlign w:val="center"/>
          </w:tcPr>
          <w:p>
            <w:pPr>
              <w:spacing w:after="0"/>
            </w:pPr>
            <w:r>
              <w:rPr>
                <w:sz w:val="16"/>
              </w:rPr>
              <w:t>167</w:t>
            </w:r>
          </w:p>
        </w:tc>
      </w:tr>
      <w:tr>
        <w:tc>
          <w:tcPr>
            <w:tcW w:type="dxa" w:w="3240"/>
            <w:vAlign w:val="center"/>
          </w:tcPr>
          <w:p>
            <w:pPr>
              <w:spacing w:after="0"/>
            </w:pPr>
            <w:r>
              <w:rPr>
                <w:sz w:val="16"/>
              </w:rPr>
              <w:t>IPv6 QUIC DDoS</w:t>
            </w:r>
          </w:p>
        </w:tc>
        <w:tc>
          <w:tcPr>
            <w:tcW w:type="dxa" w:w="792"/>
            <w:vAlign w:val="center"/>
          </w:tcPr>
          <w:p>
            <w:pPr>
              <w:spacing w:after="0"/>
            </w:pPr>
            <w:r>
              <w:rPr>
                <w:sz w:val="16"/>
              </w:rPr>
              <w:t>1152</w:t>
            </w:r>
          </w:p>
        </w:tc>
        <w:tc>
          <w:tcPr>
            <w:tcW w:type="dxa" w:w="864"/>
            <w:vAlign w:val="center"/>
          </w:tcPr>
          <w:p>
            <w:pPr>
              <w:spacing w:after="0"/>
            </w:pPr>
            <w:r>
              <w:rPr>
                <w:sz w:val="16"/>
              </w:rPr>
              <w:t>548</w:t>
            </w:r>
          </w:p>
        </w:tc>
        <w:tc>
          <w:tcPr>
            <w:tcW w:type="dxa" w:w="1080"/>
            <w:vAlign w:val="center"/>
          </w:tcPr>
          <w:p>
            <w:pPr>
              <w:spacing w:after="0"/>
            </w:pPr>
            <w:r>
              <w:rPr>
                <w:sz w:val="16"/>
              </w:rPr>
              <w:t>101</w:t>
            </w:r>
          </w:p>
        </w:tc>
        <w:tc>
          <w:tcPr>
            <w:tcW w:type="dxa" w:w="1080"/>
            <w:vAlign w:val="center"/>
          </w:tcPr>
          <w:p>
            <w:pPr>
              <w:spacing w:after="0"/>
            </w:pPr>
            <w:r>
              <w:rPr>
                <w:sz w:val="16"/>
              </w:rPr>
              <w:t>823</w:t>
            </w:r>
          </w:p>
        </w:tc>
        <w:tc>
          <w:tcPr>
            <w:tcW w:type="dxa" w:w="864"/>
            <w:vAlign w:val="center"/>
          </w:tcPr>
          <w:p>
            <w:pPr>
              <w:spacing w:after="0"/>
            </w:pPr>
            <w:r>
              <w:rPr>
                <w:sz w:val="16"/>
              </w:rPr>
              <w:t>67</w:t>
            </w:r>
          </w:p>
        </w:tc>
      </w:tr>
      <w:tr>
        <w:tc>
          <w:tcPr>
            <w:tcW w:type="dxa" w:w="3240"/>
            <w:vAlign w:val="center"/>
          </w:tcPr>
          <w:p>
            <w:pPr>
              <w:spacing w:after="0"/>
            </w:pPr>
            <w:r>
              <w:rPr>
                <w:sz w:val="16"/>
              </w:rPr>
              <w:t>IPv6 Service Chain</w:t>
            </w:r>
          </w:p>
        </w:tc>
        <w:tc>
          <w:tcPr>
            <w:tcW w:type="dxa" w:w="792"/>
            <w:vAlign w:val="center"/>
          </w:tcPr>
          <w:p>
            <w:pPr>
              <w:spacing w:after="0"/>
            </w:pPr>
            <w:r>
              <w:rPr>
                <w:sz w:val="16"/>
              </w:rPr>
              <w:t>946</w:t>
            </w:r>
          </w:p>
        </w:tc>
        <w:tc>
          <w:tcPr>
            <w:tcW w:type="dxa" w:w="864"/>
            <w:vAlign w:val="center"/>
          </w:tcPr>
          <w:p>
            <w:pPr>
              <w:spacing w:after="0"/>
            </w:pPr>
            <w:r>
              <w:rPr>
                <w:sz w:val="16"/>
              </w:rPr>
              <w:t>442</w:t>
            </w:r>
          </w:p>
        </w:tc>
        <w:tc>
          <w:tcPr>
            <w:tcW w:type="dxa" w:w="1080"/>
            <w:vAlign w:val="center"/>
          </w:tcPr>
          <w:p>
            <w:pPr>
              <w:spacing w:after="0"/>
            </w:pPr>
            <w:r>
              <w:rPr>
                <w:sz w:val="16"/>
              </w:rPr>
              <w:t>120</w:t>
            </w:r>
          </w:p>
        </w:tc>
        <w:tc>
          <w:tcPr>
            <w:tcW w:type="dxa" w:w="1080"/>
            <w:vAlign w:val="center"/>
          </w:tcPr>
          <w:p>
            <w:pPr>
              <w:spacing w:after="0"/>
            </w:pPr>
            <w:r>
              <w:rPr>
                <w:sz w:val="16"/>
              </w:rPr>
              <w:t>1527</w:t>
            </w:r>
          </w:p>
        </w:tc>
        <w:tc>
          <w:tcPr>
            <w:tcW w:type="dxa" w:w="864"/>
            <w:vAlign w:val="center"/>
          </w:tcPr>
          <w:p>
            <w:pPr>
              <w:spacing w:after="0"/>
            </w:pPr>
            <w:r>
              <w:rPr>
                <w:sz w:val="16"/>
              </w:rPr>
              <w:t>134</w:t>
            </w:r>
          </w:p>
        </w:tc>
      </w:tr>
      <w:tr>
        <w:tc>
          <w:tcPr>
            <w:tcW w:type="dxa" w:w="3240"/>
            <w:vAlign w:val="center"/>
          </w:tcPr>
          <w:p>
            <w:pPr>
              <w:spacing w:after="0"/>
            </w:pPr>
            <w:r>
              <w:rPr>
                <w:sz w:val="16"/>
              </w:rPr>
              <w:t>IPv6 Service Mesh</w:t>
            </w:r>
          </w:p>
        </w:tc>
        <w:tc>
          <w:tcPr>
            <w:tcW w:type="dxa" w:w="792"/>
            <w:vAlign w:val="center"/>
          </w:tcPr>
          <w:p>
            <w:pPr>
              <w:spacing w:after="0"/>
            </w:pPr>
            <w:r>
              <w:rPr>
                <w:sz w:val="16"/>
              </w:rPr>
              <w:t>1216</w:t>
            </w:r>
          </w:p>
        </w:tc>
        <w:tc>
          <w:tcPr>
            <w:tcW w:type="dxa" w:w="864"/>
            <w:vAlign w:val="center"/>
          </w:tcPr>
          <w:p>
            <w:pPr>
              <w:spacing w:after="0"/>
            </w:pPr>
            <w:r>
              <w:rPr>
                <w:sz w:val="16"/>
              </w:rPr>
              <w:t>459</w:t>
            </w:r>
          </w:p>
        </w:tc>
        <w:tc>
          <w:tcPr>
            <w:tcW w:type="dxa" w:w="1080"/>
            <w:vAlign w:val="center"/>
          </w:tcPr>
          <w:p>
            <w:pPr>
              <w:spacing w:after="0"/>
            </w:pPr>
            <w:r>
              <w:rPr>
                <w:sz w:val="16"/>
              </w:rPr>
              <w:t>141</w:t>
            </w:r>
          </w:p>
        </w:tc>
        <w:tc>
          <w:tcPr>
            <w:tcW w:type="dxa" w:w="1080"/>
            <w:vAlign w:val="center"/>
          </w:tcPr>
          <w:p>
            <w:pPr>
              <w:spacing w:after="0"/>
            </w:pPr>
            <w:r>
              <w:rPr>
                <w:sz w:val="16"/>
              </w:rPr>
              <w:t>3484</w:t>
            </w:r>
          </w:p>
        </w:tc>
        <w:tc>
          <w:tcPr>
            <w:tcW w:type="dxa" w:w="864"/>
            <w:vAlign w:val="center"/>
          </w:tcPr>
          <w:p>
            <w:pPr>
              <w:spacing w:after="0"/>
            </w:pPr>
            <w:r>
              <w:rPr>
                <w:sz w:val="16"/>
              </w:rPr>
              <w:t>208</w:t>
            </w:r>
          </w:p>
        </w:tc>
      </w:tr>
      <w:tr>
        <w:tc>
          <w:tcPr>
            <w:tcW w:type="dxa" w:w="3240"/>
            <w:vAlign w:val="center"/>
          </w:tcPr>
          <w:p>
            <w:pPr>
              <w:spacing w:after="0"/>
            </w:pPr>
            <w:r>
              <w:rPr>
                <w:sz w:val="16"/>
              </w:rPr>
              <w:t>IPv6 SRv6 Classifier</w:t>
            </w:r>
          </w:p>
        </w:tc>
        <w:tc>
          <w:tcPr>
            <w:tcW w:type="dxa" w:w="792"/>
            <w:vAlign w:val="center"/>
          </w:tcPr>
          <w:p>
            <w:pPr>
              <w:spacing w:after="0"/>
            </w:pPr>
            <w:r>
              <w:rPr>
                <w:sz w:val="16"/>
              </w:rPr>
              <w:t>1408</w:t>
            </w:r>
          </w:p>
        </w:tc>
        <w:tc>
          <w:tcPr>
            <w:tcW w:type="dxa" w:w="864"/>
            <w:vAlign w:val="center"/>
          </w:tcPr>
          <w:p>
            <w:pPr>
              <w:spacing w:after="0"/>
            </w:pPr>
            <w:r>
              <w:rPr>
                <w:sz w:val="16"/>
              </w:rPr>
              <w:t>487</w:t>
            </w:r>
          </w:p>
        </w:tc>
        <w:tc>
          <w:tcPr>
            <w:tcW w:type="dxa" w:w="1080"/>
            <w:vAlign w:val="center"/>
          </w:tcPr>
          <w:p>
            <w:pPr>
              <w:spacing w:after="0"/>
            </w:pPr>
            <w:r>
              <w:rPr>
                <w:sz w:val="16"/>
              </w:rPr>
              <w:t>197</w:t>
            </w:r>
          </w:p>
        </w:tc>
        <w:tc>
          <w:tcPr>
            <w:tcW w:type="dxa" w:w="1080"/>
            <w:vAlign w:val="center"/>
          </w:tcPr>
          <w:p>
            <w:pPr>
              <w:spacing w:after="0"/>
            </w:pPr>
            <w:r>
              <w:rPr>
                <w:sz w:val="16"/>
              </w:rPr>
              <w:t>3283</w:t>
            </w:r>
          </w:p>
        </w:tc>
        <w:tc>
          <w:tcPr>
            <w:tcW w:type="dxa" w:w="864"/>
            <w:vAlign w:val="center"/>
          </w:tcPr>
          <w:p>
            <w:pPr>
              <w:spacing w:after="0"/>
            </w:pPr>
            <w:r>
              <w:rPr>
                <w:sz w:val="16"/>
              </w:rPr>
              <w:t>200</w:t>
            </w:r>
          </w:p>
        </w:tc>
      </w:tr>
      <w:tr>
        <w:tc>
          <w:tcPr>
            <w:tcW w:type="dxa" w:w="3240"/>
            <w:vAlign w:val="center"/>
          </w:tcPr>
          <w:p>
            <w:pPr>
              <w:spacing w:after="0"/>
            </w:pPr>
            <w:r>
              <w:rPr>
                <w:sz w:val="16"/>
              </w:rPr>
              <w:t>IPv6 VXLAN</w:t>
            </w:r>
          </w:p>
        </w:tc>
        <w:tc>
          <w:tcPr>
            <w:tcW w:type="dxa" w:w="792"/>
            <w:vAlign w:val="center"/>
          </w:tcPr>
          <w:p>
            <w:pPr>
              <w:spacing w:after="0"/>
            </w:pPr>
            <w:r>
              <w:rPr>
                <w:sz w:val="16"/>
              </w:rPr>
              <w:t>1024</w:t>
            </w:r>
          </w:p>
        </w:tc>
        <w:tc>
          <w:tcPr>
            <w:tcW w:type="dxa" w:w="864"/>
            <w:vAlign w:val="center"/>
          </w:tcPr>
          <w:p>
            <w:pPr>
              <w:spacing w:after="0"/>
            </w:pPr>
            <w:r>
              <w:rPr>
                <w:sz w:val="16"/>
              </w:rPr>
              <w:t>365</w:t>
            </w:r>
          </w:p>
        </w:tc>
        <w:tc>
          <w:tcPr>
            <w:tcW w:type="dxa" w:w="1080"/>
            <w:vAlign w:val="center"/>
          </w:tcPr>
          <w:p>
            <w:pPr>
              <w:spacing w:after="0"/>
            </w:pPr>
            <w:r>
              <w:rPr>
                <w:sz w:val="16"/>
              </w:rPr>
              <w:t>97</w:t>
            </w:r>
          </w:p>
        </w:tc>
        <w:tc>
          <w:tcPr>
            <w:tcW w:type="dxa" w:w="1080"/>
            <w:vAlign w:val="center"/>
          </w:tcPr>
          <w:p>
            <w:pPr>
              <w:spacing w:after="0"/>
            </w:pPr>
            <w:r>
              <w:rPr>
                <w:sz w:val="16"/>
              </w:rPr>
              <w:t>1420</w:t>
            </w:r>
          </w:p>
        </w:tc>
        <w:tc>
          <w:tcPr>
            <w:tcW w:type="dxa" w:w="864"/>
            <w:vAlign w:val="center"/>
          </w:tcPr>
          <w:p>
            <w:pPr>
              <w:spacing w:after="0"/>
            </w:pPr>
            <w:r>
              <w:rPr>
                <w:sz w:val="16"/>
              </w:rPr>
              <w:t>135</w:t>
            </w:r>
          </w:p>
        </w:tc>
      </w:tr>
    </w:tbl>
    <w:p>
      <w:pPr>
        <w:spacing w:after="20"/>
      </w:pPr>
    </w:p>
    <w:p>
      <w:pPr>
        <w:jc w:val="center"/>
      </w:pPr>
      <w:r>
        <w:rPr>
          <w:i/>
        </w:rPr>
        <w:t>Table 2. Large semantic PDBFs and GT effective support.</w:t>
      </w:r>
    </w:p>
    <w:p>
      <w:r>
        <w:t>The reductions in effective input dimension are substantial. The 1,408-input SRv6 classifier uses 197 effective inputs; the 946-input service-chain security policy uses 120; the 1,024-input VXLAN microsegmentation policy uses 97; and the 806-input firewall classifier uses only 41.</w:t>
      </w:r>
    </w:p>
    <w:p>
      <w:r>
        <w:t>These examples illustrate why a PDBF with one or two thousand declared inputs should not automatically be interpreted as requiring a network structurally dependent on one or two thousand inputs. The care-domain geometry may permit a much smaller implementation support.</w:t>
      </w:r>
    </w:p>
    <w:p>
      <w:r>
        <w:t>For these large cases, the exact MCS values are not yet known. However, Theorem 1 gives an immediate valid upper bound on MCS from every valid implementation: MCS≤PI_eff^GT. Thus, for the service-chain example, MCS≤120 rather than the much weaker CSPI-based bound of 442. A future certified lower-bound computation can determine how close the GT support lies to the true minimum.</w:t>
      </w:r>
    </w:p>
    <w:p>
      <w:r>
        <w:t>The large examples should therefore be interpreted as evidence of support reduction, not yet as proofs of support optimality. This separation keeps the exact theoretical claims distinct from the large-scale experimental observations.</w:t>
      </w:r>
    </w:p>
    <w:p>
      <w:pPr>
        <w:pStyle w:val="Heading1"/>
      </w:pPr>
      <w:r>
        <w:t>9. What Determines PDBF Implementation Size?</w:t>
      </w:r>
    </w:p>
    <w:p>
      <w:r>
        <w:t>The experiments support a simpler answer than one based on nominal benchmark dimensions alone. PI count describes the coordinate space in which the PDBF is written, but it does not describe how many coordinates must survive in a valid realization. Cube count describes the number of specified regions, but does not capture how those regions can be separated. CSPI describes the union of available separating inputs, but can be much larger than the minimum separating support.</w:t>
      </w:r>
    </w:p>
    <w:p>
      <w:r>
        <w:t>MCS addresses the first structural question: how many primary-input coordinates are unavoidably required to distinguish all opposite-care requirements? Effective PI addresses the synthesis question: how many coordinates does a particular implementation actually retain? Gate count and depth then characterize the realization built over that selected support.</w:t>
      </w:r>
    </w:p>
    <w:p>
      <w:pPr>
        <w:spacing w:before="60" w:after="100"/>
        <w:jc w:val="center"/>
      </w:pPr>
      <w:r>
        <w:rPr>
          <w:rFonts w:ascii="Cambria Math" w:hAnsi="Cambria Math"/>
          <w:i/>
          <w:sz w:val="22"/>
        </w:rPr>
        <w:t>declared PI  →  care-separation structure  →  MCS  ≤  PI_eff  →  gates / levels.</w:t>
      </w:r>
    </w:p>
    <w:p>
      <w:r>
        <w:t>This framework also explains why raw PI scaling can be misleading for PDBFs. Increasing the declared input dimension does not necessarily increase MCS proportionally. Conversely, two specifications with similar PI and cube counts may have very different separator structures and therefore different minimum support requirements.</w:t>
      </w:r>
    </w:p>
    <w:p>
      <w:r>
        <w:t>The results further suggest that support optimality and logic optimality should be evaluated separately. When GT reaches MCS, the support-cardinality problem is solved optimally for that benchmark, but additional synthesis work may still reduce gates or depth over the same support. When PI_eff exceeds MCS, optimization may proceed either by reducing support, improving the realization over the existing support, or both.</w:t>
      </w:r>
    </w:p>
    <w:p>
      <w:pPr>
        <w:pStyle w:val="Heading1"/>
      </w:pPr>
      <w:r>
        <w:t>10. Discussion</w:t>
      </w:r>
    </w:p>
    <w:p>
      <w:pPr>
        <w:pStyle w:val="Heading2"/>
      </w:pPr>
      <w:r>
        <w:t>10.1 Implications for benchmark design</w:t>
      </w:r>
    </w:p>
    <w:p>
      <w:r>
        <w:t>PDBF benchmark suites should report more than PI, PO, and cube count. Where computationally practical, MCS provides a specification-side quantity with a direct implementation interpretation. For large cases, certified MCS bounds can serve the same purpose. Reporting PI_eff for synthesized implementations then allows readers to distinguish support reduction from gate-level optimization.</w:t>
      </w:r>
    </w:p>
    <w:p>
      <w:pPr>
        <w:pStyle w:val="Heading2"/>
      </w:pPr>
      <w:r>
        <w:t>10.2 Implications for tool comparison</w:t>
      </w:r>
    </w:p>
    <w:p>
      <w:r>
        <w:t>The proposed metrics are tool-independent at the specification level. Any synthesis system can process the same PLA and report a valid implementation. If an implementation uses PI_eff=MCS, its support cardinality is optimal regardless of the synthesis method used. Gate count, depth, wiring, fan-out, technology mapping, runtime, and other objectives remain separate comparison dimensions.</w:t>
      </w:r>
    </w:p>
    <w:p>
      <w:pPr>
        <w:pStyle w:val="Heading2"/>
      </w:pPr>
      <w:r>
        <w:t>10.3 Scalability</w:t>
      </w:r>
    </w:p>
    <w:p>
      <w:r>
        <w:t>Exact MCS is a combinatorial hitting-set problem and may be difficult for very large separator families. This does not invalidate the metric; it motivates certified bounds. A feasible implementation support is itself an upper bound. Lower bounds can be obtained from restricted exact separator families, disjoint-set packings, linear-programming relaxations, or other certified combinatorial techniques. The gap between lower and upper bounds then quantifies how much support optimality remains unresolved.</w:t>
      </w:r>
    </w:p>
    <w:p>
      <w:pPr>
        <w:pStyle w:val="Heading2"/>
      </w:pPr>
      <w:r>
        <w:t>10.4 Limitations</w:t>
      </w:r>
    </w:p>
    <w:p>
      <w:r>
        <w:t>The exact MCS/support experiment currently contains eight benchmarks, so statistical conclusions must remain modest. The large IPv6 examples currently demonstrate support reduction but not exact support optimality. MCS captures pairwise care separation and is a lower bound on implementation support; it is not claimed to equal minimum Boolean support for every PDBF, nor does it directly lower-bound gate count in a simple one-to-one form. The present GT implementation results also represent the algorithms currently implemented in GT rather than a claim of globally optimal gate or depth synthesis.</w:t>
      </w:r>
    </w:p>
    <w:p>
      <w:pPr>
        <w:pStyle w:val="Heading1"/>
      </w:pPr>
      <w:r>
        <w:t>11. Reproducibility and Verification</w:t>
      </w:r>
    </w:p>
    <w:p>
      <w:r>
        <w:t>Each benchmark is specified as a PLA PDBF. A result should be validated by checking that the synthesized network satisfies every required care value represented by the PLA. No requirement is imposed on don't-care assignments outside the specified care behavior. Effective PI is determined from the transitive support of all outputs in the implementation.</w:t>
      </w:r>
    </w:p>
    <w:p>
      <w:r>
        <w:t>For independent comparison, another synthesis tool may process the same PLA, produce its own network, validate care-domain compatibility, and report PI_eff, gate count, and depth. A tool need not reproduce a GT netlist; only correctness with respect to the PDBF care specification is required.</w:t>
      </w:r>
    </w:p>
    <w:p>
      <w:r>
        <w:t>The benchmark page is intended to provide the PLA inputs directly at www.gtsynt.com/benchmarks. Readers obtaining different synthesis results are encouraged to inform the authors together with sufficient information to validate the result against the original PLA.</w:t>
      </w:r>
    </w:p>
    <w:p>
      <w:pPr>
        <w:pStyle w:val="Heading1"/>
      </w:pPr>
      <w:r>
        <w:t>12. Conclusion</w:t>
      </w:r>
    </w:p>
    <w:p>
      <w:r>
        <w:t>This paper investigated what determines the implementation size of partially defined Boolean functions. The experiments show that declared primary-input count alone is not a sufficient measure of implementation complexity. A PDBF may be written in a large input space while admitting a valid network that depends on only a small subset of those inputs.</w:t>
      </w:r>
    </w:p>
    <w:p>
      <w:r>
        <w:t>We introduced Minimum Care-Separating support, MCS, as a specification-side measure derived from opposite-care cube pairs. We proved that MCS lower-bounds the effective support of every valid implementation. Consequently, equality PI_eff=MCS certifies globally minimum effective-support cardinality.</w:t>
      </w:r>
    </w:p>
    <w:p>
      <w:r>
        <w:t>In the current exact experiment, five of eight GT implementations attain this lower bound exactly. Larger IPv6 semantic PDBFs demonstrate substantial reductions from declared PI to effective PI, including 1,408→197, 946→120, 1,024→97, and 806→41. Exact MCS values for these large cases remain a subject of continuing analysis.</w:t>
      </w:r>
    </w:p>
    <w:p>
      <w:r>
        <w:t>The resulting picture separates PDBF implementation complexity into two related but distinct questions: which primary inputs must survive the care constraints, and how much logic is required to realize the behavior over the selected support. This distinction provides a clearer basis for evaluating synthesis of large PDBFs and for comparing implementations produced by different synthesis technologies.</w:t>
      </w:r>
    </w:p>
    <w:p>
      <w:pPr>
        <w:pStyle w:val="Heading1"/>
      </w:pPr>
      <w:r>
        <w:t>References</w:t>
      </w:r>
    </w:p>
    <w:p>
      <w:pPr>
        <w:ind w:left="259" w:hanging="259"/>
      </w:pPr>
      <w:r>
        <w:t>[1] GT Synthesis, benchmark collection and PDBF examples, www.gtsynt.com/benchmarks. Access date to be inserted at submission.</w:t>
      </w:r>
    </w:p>
    <w:p>
      <w:pPr>
        <w:ind w:left="259" w:hanging="259"/>
      </w:pPr>
      <w:r>
        <w:t>[2] Prior GT Paper I. Bibliographic metadata to be inserted from the final published/submitted version.</w:t>
      </w:r>
    </w:p>
    <w:p>
      <w:pPr>
        <w:ind w:left="259" w:hanging="259"/>
      </w:pPr>
      <w:r>
        <w:t>[3] Prior GT Paper II. Bibliographic metadata to be inserted from the final published/submitted version.</w:t>
      </w:r>
    </w:p>
    <w:p>
      <w:pPr>
        <w:ind w:left="259" w:hanging="259"/>
      </w:pPr>
      <w:r>
        <w:t>[4] Prior GT Paper III. Bibliographic metadata to be inserted from the final published/submitted version.</w:t>
      </w:r>
    </w:p>
    <w:p>
      <w:pPr>
        <w:ind w:left="259" w:hanging="259"/>
      </w:pPr>
      <w:r>
        <w:t>[5] Prior GT Paper IV, “Design from Semantics: Direct Logic Synthesis under Care-Domain Compatibility.” Bibliographic metadata to be inserted from the final version.</w:t>
      </w:r>
    </w:p>
    <w:p>
      <w:pPr>
        <w:ind w:left="259" w:hanging="259"/>
      </w:pPr>
      <w:r>
        <w:t>[6] R. K. Brayton and A. Mishchenko, “ABC: An Academic Industrial-Strength Verification Tool,” Computer Aided Verification (CAV), 2010. Final citation formatting to be checked before submission.</w:t>
      </w:r>
    </w:p>
    <w:p>
      <w:pPr>
        <w:pStyle w:val="Heading1"/>
      </w:pPr>
      <w:r>
        <w:t>Appendix A. Metrics Used in the Exploratory Analysis</w:t>
      </w:r>
    </w:p>
    <w:p>
      <w:r>
        <w:t>The main text intentionally uses a simplified presentation. During exploratory analysis we also evaluated input-literal counts, output-care literals, opposite-care pair counts, separator-set sizes, CSPI, greedy separator covers, and Pearson/Spearman associations with GT implementation metrics. These analyses motivated MCS but are not required to understand the principal result.</w:t>
      </w:r>
    </w:p>
    <w:p>
      <w:r>
        <w:t>CSPI is the number of distinct primary inputs that appear as a complementary 0/1 separator in at least one opposite-care comparison. It measures availability of separating coordinates, not the minimum number required. This distinction is important: CSPI can saturate while implementation size continues to change.</w:t>
      </w:r>
    </w:p>
    <w:p>
      <w:r>
        <w:t>For large PDBFs, sampled separator statistics can characterize the distribution of separation freedom, but sampled hitting-set solutions are not presented as exact MCS. The main exact-support claims in this paper use only exact optimal MCS values.</w:t>
      </w:r>
    </w:p>
    <w:sectPr w:rsidR="00FC693F" w:rsidRPr="0006063C" w:rsidSect="00034616">
      <w:footerReference w:type="default" r:id="rId9"/>
      <w:pgSz w:w="12240" w:h="15840"/>
      <w:pgMar w:top="1037" w:right="1123" w:bottom="1037"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Paper V — First Draft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Times New Roman" w:hAnsi="Times New Roman"/>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b/>
      <w:color w:val="17365D" w:themeColor="text2" w:themeShade="BF"/>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